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EB8C2" w14:textId="34F2DC6B" w:rsidR="008646AA" w:rsidRPr="00606186" w:rsidRDefault="008646AA" w:rsidP="008646AA">
      <w:pPr>
        <w:spacing w:before="161" w:after="150" w:line="240" w:lineRule="auto"/>
        <w:outlineLvl w:val="3"/>
        <w:rPr>
          <w:rFonts w:ascii="Lato" w:eastAsia="Times New Roman" w:hAnsi="Lato" w:cs="Times New Roman"/>
          <w:b/>
          <w:bCs/>
          <w:color w:val="363636"/>
          <w:sz w:val="34"/>
          <w:szCs w:val="34"/>
        </w:rPr>
      </w:pPr>
      <w:r w:rsidRPr="00606186">
        <w:rPr>
          <w:rFonts w:ascii="Lato" w:eastAsia="Times New Roman" w:hAnsi="Lato" w:cs="Times New Roman"/>
          <w:b/>
          <w:bCs/>
          <w:color w:val="363636"/>
          <w:sz w:val="34"/>
          <w:szCs w:val="34"/>
        </w:rPr>
        <w:t>Accreditation &amp; Credit Designation Statements</w:t>
      </w:r>
    </w:p>
    <w:p w14:paraId="2BB2B6AE" w14:textId="1CDDF0A6" w:rsidR="008646AA" w:rsidRPr="004C2CCE" w:rsidRDefault="008646AA" w:rsidP="008646AA">
      <w:pPr>
        <w:spacing w:after="0" w:line="240" w:lineRule="auto"/>
        <w:rPr>
          <w:rFonts w:ascii="Times New Roman" w:eastAsia="Times New Roman" w:hAnsi="Times New Roman" w:cs="Times New Roman"/>
          <w:sz w:val="24"/>
          <w:szCs w:val="24"/>
        </w:rPr>
      </w:pPr>
    </w:p>
    <w:p w14:paraId="021700A4" w14:textId="63FEB828" w:rsidR="008646AA" w:rsidRPr="004C2CCE" w:rsidRDefault="00035C78" w:rsidP="008646AA">
      <w:pPr>
        <w:spacing w:after="150" w:line="240" w:lineRule="auto"/>
        <w:rPr>
          <w:rFonts w:ascii="Lato" w:eastAsia="Times New Roman" w:hAnsi="Lato" w:cs="Times New Roman"/>
          <w:color w:val="363636"/>
          <w:sz w:val="24"/>
          <w:szCs w:val="24"/>
        </w:rPr>
      </w:pPr>
      <w:r>
        <w:rPr>
          <w:rFonts w:ascii="Lato" w:eastAsia="Times New Roman" w:hAnsi="Lato" w:cs="Times New Roman"/>
          <w:noProof/>
          <w:color w:val="363636"/>
          <w:sz w:val="24"/>
          <w:szCs w:val="24"/>
        </w:rPr>
        <w:drawing>
          <wp:anchor distT="0" distB="0" distL="114300" distR="114300" simplePos="0" relativeHeight="251659264" behindDoc="0" locked="0" layoutInCell="1" allowOverlap="1" wp14:anchorId="0FA3538C" wp14:editId="3F291137">
            <wp:simplePos x="0" y="0"/>
            <wp:positionH relativeFrom="column">
              <wp:posOffset>5375910</wp:posOffset>
            </wp:positionH>
            <wp:positionV relativeFrom="paragraph">
              <wp:posOffset>106045</wp:posOffset>
            </wp:positionV>
            <wp:extent cx="1663065" cy="1143000"/>
            <wp:effectExtent l="0" t="0" r="0" b="0"/>
            <wp:wrapSquare wrapText="bothSides"/>
            <wp:docPr id="751922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6AA">
        <w:rPr>
          <w:rFonts w:ascii="Lato" w:eastAsia="Times New Roman" w:hAnsi="Lato" w:cs="Times New Roman"/>
          <w:b/>
          <w:bCs/>
          <w:color w:val="363636"/>
          <w:sz w:val="24"/>
          <w:szCs w:val="24"/>
        </w:rPr>
        <w:t>Joint</w:t>
      </w:r>
      <w:r w:rsidR="008646AA" w:rsidRPr="004C2CCE">
        <w:rPr>
          <w:rFonts w:ascii="Lato" w:eastAsia="Times New Roman" w:hAnsi="Lato" w:cs="Times New Roman"/>
          <w:b/>
          <w:bCs/>
          <w:color w:val="363636"/>
          <w:sz w:val="24"/>
          <w:szCs w:val="24"/>
        </w:rPr>
        <w:t xml:space="preserve"> Accreditation Statement</w:t>
      </w:r>
      <w:r w:rsidR="008646AA" w:rsidRPr="004C2CCE">
        <w:rPr>
          <w:rFonts w:ascii="Lato" w:eastAsia="Times New Roman" w:hAnsi="Lato" w:cs="Times New Roman"/>
          <w:b/>
          <w:bCs/>
          <w:color w:val="363636"/>
          <w:sz w:val="24"/>
          <w:szCs w:val="24"/>
        </w:rPr>
        <w:br/>
      </w:r>
      <w:r w:rsidR="008646AA" w:rsidRPr="00AC7EBC">
        <w:rPr>
          <w:rFonts w:ascii="Lato" w:eastAsia="Times New Roman" w:hAnsi="Lato" w:cs="Times New Roman"/>
          <w:color w:val="363636"/>
          <w:sz w:val="24"/>
          <w:szCs w:val="24"/>
        </w:rPr>
        <w:t>In support of improving patient care, the American Society of Addiction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4780355F" w14:textId="47F003E0" w:rsidR="008646AA" w:rsidRDefault="008646AA" w:rsidP="008646AA">
      <w:pPr>
        <w:spacing w:after="150" w:line="240" w:lineRule="auto"/>
        <w:rPr>
          <w:rFonts w:ascii="Lato" w:eastAsia="Times New Roman" w:hAnsi="Lato" w:cs="Times New Roman"/>
          <w:color w:val="363636"/>
          <w:sz w:val="24"/>
          <w:szCs w:val="24"/>
        </w:rPr>
      </w:pPr>
      <w:r>
        <w:rPr>
          <w:rFonts w:ascii="Lato" w:eastAsia="Times New Roman" w:hAnsi="Lato" w:cs="Times New Roman"/>
          <w:b/>
          <w:bCs/>
          <w:color w:val="363636"/>
          <w:sz w:val="24"/>
          <w:szCs w:val="24"/>
        </w:rPr>
        <w:t>Physicians</w:t>
      </w:r>
      <w:r w:rsidRPr="004C2CCE">
        <w:rPr>
          <w:rFonts w:ascii="Lato" w:eastAsia="Times New Roman" w:hAnsi="Lato" w:cs="Times New Roman"/>
          <w:b/>
          <w:bCs/>
          <w:color w:val="363636"/>
          <w:sz w:val="24"/>
          <w:szCs w:val="24"/>
        </w:rPr>
        <w:br/>
      </w:r>
      <w:r w:rsidRPr="004C2CCE">
        <w:rPr>
          <w:rFonts w:ascii="Lato" w:eastAsia="Times New Roman" w:hAnsi="Lato" w:cs="Times New Roman"/>
          <w:color w:val="363636"/>
          <w:sz w:val="24"/>
          <w:szCs w:val="24"/>
        </w:rPr>
        <w:t xml:space="preserve">The American Society of Addiction Medicine </w:t>
      </w:r>
      <w:r w:rsidRPr="008D4A15">
        <w:rPr>
          <w:rFonts w:ascii="Lato" w:eastAsia="Times New Roman" w:hAnsi="Lato" w:cs="Times New Roman"/>
          <w:color w:val="363636"/>
          <w:sz w:val="24"/>
          <w:szCs w:val="24"/>
        </w:rPr>
        <w:t xml:space="preserve">designates this enduring </w:t>
      </w:r>
      <w:r w:rsidR="00035C78" w:rsidRPr="008D4A15">
        <w:rPr>
          <w:rFonts w:ascii="Lato" w:eastAsia="Times New Roman" w:hAnsi="Lato" w:cs="Times New Roman"/>
          <w:color w:val="363636"/>
          <w:sz w:val="24"/>
          <w:szCs w:val="24"/>
        </w:rPr>
        <w:t>material</w:t>
      </w:r>
      <w:r w:rsidRPr="008D4A15">
        <w:rPr>
          <w:rFonts w:ascii="Lato" w:eastAsia="Times New Roman" w:hAnsi="Lato" w:cs="Times New Roman"/>
          <w:color w:val="363636"/>
          <w:sz w:val="24"/>
          <w:szCs w:val="24"/>
        </w:rPr>
        <w:t xml:space="preserve"> for a</w:t>
      </w:r>
      <w:r w:rsidRPr="004C2CCE">
        <w:rPr>
          <w:rFonts w:ascii="Lato" w:eastAsia="Times New Roman" w:hAnsi="Lato" w:cs="Times New Roman"/>
          <w:color w:val="363636"/>
          <w:sz w:val="24"/>
          <w:szCs w:val="24"/>
        </w:rPr>
        <w:t xml:space="preserve"> maximum of </w:t>
      </w:r>
      <w:r w:rsidR="008D4A15" w:rsidRPr="008D4A15">
        <w:rPr>
          <w:rFonts w:ascii="Lato" w:eastAsia="Times New Roman" w:hAnsi="Lato" w:cs="Times New Roman"/>
          <w:b/>
          <w:bCs/>
          <w:color w:val="363636"/>
          <w:sz w:val="24"/>
          <w:szCs w:val="24"/>
        </w:rPr>
        <w:t>1</w:t>
      </w:r>
      <w:r w:rsidR="008D4A15">
        <w:rPr>
          <w:rFonts w:ascii="Lato" w:eastAsia="Times New Roman" w:hAnsi="Lato" w:cs="Times New Roman"/>
          <w:b/>
          <w:bCs/>
          <w:color w:val="363636"/>
          <w:sz w:val="24"/>
          <w:szCs w:val="24"/>
        </w:rPr>
        <w:t>6</w:t>
      </w:r>
      <w:r w:rsidR="00BC5568" w:rsidRPr="008646AA">
        <w:rPr>
          <w:rFonts w:ascii="Lato" w:hAnsi="Lato"/>
          <w:sz w:val="24"/>
          <w:szCs w:val="24"/>
        </w:rPr>
        <w:t xml:space="preserve"> </w:t>
      </w:r>
      <w:r w:rsidRPr="00B83394">
        <w:rPr>
          <w:rFonts w:ascii="Lato" w:eastAsia="Times New Roman" w:hAnsi="Lato" w:cs="Times New Roman"/>
          <w:i/>
          <w:iCs/>
          <w:color w:val="363636"/>
          <w:sz w:val="24"/>
          <w:szCs w:val="24"/>
        </w:rPr>
        <w:t>AMA PRA Category 1 Credits™</w:t>
      </w:r>
      <w:r w:rsidRPr="00B83394">
        <w:rPr>
          <w:rFonts w:ascii="Lato" w:eastAsia="Times New Roman" w:hAnsi="Lato" w:cs="Times New Roman"/>
          <w:color w:val="363636"/>
          <w:sz w:val="24"/>
          <w:szCs w:val="24"/>
        </w:rPr>
        <w:t>.</w:t>
      </w:r>
      <w:r w:rsidRPr="004C2CCE">
        <w:rPr>
          <w:rFonts w:ascii="Lato" w:eastAsia="Times New Roman" w:hAnsi="Lato" w:cs="Times New Roman"/>
          <w:color w:val="363636"/>
          <w:sz w:val="24"/>
          <w:szCs w:val="24"/>
        </w:rPr>
        <w:t> Physicians should claim only the credit commensurate with the extent of their participation in the activity.</w:t>
      </w:r>
    </w:p>
    <w:p w14:paraId="62C6C4CD" w14:textId="4461177C" w:rsidR="00D22641" w:rsidRPr="00D22641" w:rsidRDefault="00D22641" w:rsidP="008646AA">
      <w:pPr>
        <w:spacing w:after="0" w:line="240" w:lineRule="auto"/>
        <w:rPr>
          <w:rFonts w:ascii="Lato" w:eastAsia="Times New Roman" w:hAnsi="Lato" w:cs="Times New Roman"/>
          <w:b/>
          <w:bCs/>
          <w:color w:val="363636"/>
          <w:sz w:val="24"/>
          <w:szCs w:val="24"/>
        </w:rPr>
      </w:pPr>
      <w:bookmarkStart w:id="0" w:name="_Hlk168334024"/>
      <w:r w:rsidRPr="00D22641">
        <w:rPr>
          <w:rFonts w:ascii="Lato" w:eastAsia="Times New Roman" w:hAnsi="Lato" w:cs="Times New Roman"/>
          <w:b/>
          <w:bCs/>
          <w:color w:val="363636"/>
          <w:sz w:val="24"/>
          <w:szCs w:val="24"/>
        </w:rPr>
        <w:t>Pharmacology Hours</w:t>
      </w:r>
    </w:p>
    <w:p w14:paraId="27F3FB03" w14:textId="0488429E" w:rsidR="00346A7E" w:rsidRDefault="00D22641" w:rsidP="008646AA">
      <w:pPr>
        <w:spacing w:after="0" w:line="240" w:lineRule="auto"/>
        <w:rPr>
          <w:rFonts w:ascii="Lato" w:eastAsia="Times New Roman" w:hAnsi="Lato" w:cs="Times New Roman"/>
          <w:color w:val="363636"/>
          <w:sz w:val="24"/>
          <w:szCs w:val="24"/>
        </w:rPr>
      </w:pPr>
      <w:r>
        <w:rPr>
          <w:rFonts w:ascii="Lato" w:eastAsia="Times New Roman" w:hAnsi="Lato" w:cs="Times New Roman"/>
          <w:color w:val="363636"/>
          <w:sz w:val="24"/>
          <w:szCs w:val="24"/>
        </w:rPr>
        <w:t xml:space="preserve">This activity </w:t>
      </w:r>
      <w:r w:rsidR="00C62F9D">
        <w:rPr>
          <w:rFonts w:ascii="Lato" w:eastAsia="Times New Roman" w:hAnsi="Lato" w:cs="Times New Roman"/>
          <w:color w:val="363636"/>
          <w:sz w:val="24"/>
          <w:szCs w:val="24"/>
        </w:rPr>
        <w:t xml:space="preserve">has </w:t>
      </w:r>
      <w:r w:rsidR="008D4A15">
        <w:rPr>
          <w:rFonts w:ascii="Lato" w:eastAsia="Times New Roman" w:hAnsi="Lato" w:cs="Times New Roman"/>
          <w:b/>
          <w:bCs/>
          <w:color w:val="363636"/>
          <w:sz w:val="24"/>
          <w:szCs w:val="24"/>
        </w:rPr>
        <w:t>8</w:t>
      </w:r>
      <w:r w:rsidR="00C62F9D" w:rsidRPr="00C62F9D">
        <w:rPr>
          <w:rFonts w:ascii="Lato" w:eastAsia="Times New Roman" w:hAnsi="Lato" w:cs="Times New Roman"/>
          <w:b/>
          <w:bCs/>
          <w:color w:val="363636"/>
          <w:sz w:val="24"/>
          <w:szCs w:val="24"/>
        </w:rPr>
        <w:t xml:space="preserve"> </w:t>
      </w:r>
      <w:r w:rsidR="00C62F9D">
        <w:rPr>
          <w:rFonts w:ascii="Lato" w:eastAsia="Times New Roman" w:hAnsi="Lato" w:cs="Times New Roman"/>
          <w:color w:val="363636"/>
          <w:sz w:val="24"/>
          <w:szCs w:val="24"/>
        </w:rPr>
        <w:t>number of hours that satisfy the requirements for NP and PA Pharmacology Hours.</w:t>
      </w:r>
      <w:bookmarkEnd w:id="0"/>
    </w:p>
    <w:p w14:paraId="291524C4" w14:textId="77777777" w:rsidR="00D22641" w:rsidRDefault="00D22641" w:rsidP="008646AA">
      <w:pPr>
        <w:spacing w:after="0" w:line="240" w:lineRule="auto"/>
        <w:rPr>
          <w:rFonts w:ascii="Lato" w:eastAsia="Times New Roman" w:hAnsi="Lato" w:cs="Times New Roman"/>
          <w:color w:val="363636"/>
          <w:sz w:val="24"/>
          <w:szCs w:val="24"/>
        </w:rPr>
      </w:pPr>
    </w:p>
    <w:p w14:paraId="6D73AC5E" w14:textId="77777777" w:rsidR="008646AA" w:rsidRPr="004C2CCE" w:rsidRDefault="008646AA" w:rsidP="008646AA">
      <w:pPr>
        <w:spacing w:after="150" w:line="240" w:lineRule="auto"/>
        <w:rPr>
          <w:rFonts w:ascii="Lato" w:eastAsia="Times New Roman" w:hAnsi="Lato" w:cs="Times New Roman"/>
          <w:color w:val="363636"/>
          <w:sz w:val="24"/>
          <w:szCs w:val="24"/>
        </w:rPr>
      </w:pPr>
      <w:r w:rsidRPr="004C2CCE">
        <w:rPr>
          <w:rFonts w:ascii="Lato" w:eastAsia="Times New Roman" w:hAnsi="Lato" w:cs="Times New Roman"/>
          <w:b/>
          <w:bCs/>
          <w:color w:val="363636"/>
          <w:sz w:val="24"/>
          <w:szCs w:val="24"/>
        </w:rPr>
        <w:t>California Association for Drug/Alcohol Educators (CAADE)</w:t>
      </w:r>
      <w:r w:rsidRPr="004C2CCE">
        <w:rPr>
          <w:rFonts w:ascii="Lato" w:eastAsia="Times New Roman" w:hAnsi="Lato" w:cs="Times New Roman"/>
          <w:b/>
          <w:bCs/>
          <w:color w:val="363636"/>
          <w:sz w:val="24"/>
          <w:szCs w:val="24"/>
        </w:rPr>
        <w:br/>
      </w:r>
      <w:r w:rsidRPr="004C2CCE">
        <w:rPr>
          <w:rFonts w:ascii="Lato" w:eastAsia="Times New Roman" w:hAnsi="Lato" w:cs="Times New Roman"/>
          <w:color w:val="363636"/>
          <w:sz w:val="24"/>
          <w:szCs w:val="24"/>
        </w:rPr>
        <w:t>This educational program is approved by CAADE: #CP40 999 122</w:t>
      </w:r>
      <w:r>
        <w:rPr>
          <w:rFonts w:ascii="Lato" w:eastAsia="Times New Roman" w:hAnsi="Lato" w:cs="Times New Roman"/>
          <w:color w:val="363636"/>
          <w:sz w:val="24"/>
          <w:szCs w:val="24"/>
        </w:rPr>
        <w:t>5</w:t>
      </w:r>
      <w:r w:rsidRPr="004C2CCE">
        <w:rPr>
          <w:rFonts w:ascii="Lato" w:eastAsia="Times New Roman" w:hAnsi="Lato" w:cs="Times New Roman"/>
          <w:color w:val="363636"/>
          <w:sz w:val="24"/>
          <w:szCs w:val="24"/>
        </w:rPr>
        <w:t>.</w:t>
      </w:r>
    </w:p>
    <w:p w14:paraId="09A87C7A" w14:textId="39B0423A" w:rsidR="008646AA" w:rsidRPr="004C2CCE" w:rsidRDefault="008646AA" w:rsidP="008646AA">
      <w:pPr>
        <w:spacing w:after="150" w:line="240" w:lineRule="auto"/>
        <w:rPr>
          <w:rFonts w:ascii="Lato" w:eastAsia="Times New Roman" w:hAnsi="Lato" w:cs="Times New Roman"/>
          <w:color w:val="363636"/>
          <w:sz w:val="24"/>
          <w:szCs w:val="24"/>
        </w:rPr>
      </w:pPr>
      <w:r w:rsidRPr="004C2CCE">
        <w:rPr>
          <w:rFonts w:ascii="Lato" w:eastAsia="Times New Roman" w:hAnsi="Lato" w:cs="Times New Roman"/>
          <w:b/>
          <w:bCs/>
          <w:color w:val="363636"/>
          <w:sz w:val="24"/>
          <w:szCs w:val="24"/>
        </w:rPr>
        <w:t>California Association of DUI Treatment Centers (CADTP)</w:t>
      </w:r>
      <w:r w:rsidRPr="004C2CCE">
        <w:rPr>
          <w:rFonts w:ascii="Lato" w:eastAsia="Times New Roman" w:hAnsi="Lato" w:cs="Times New Roman"/>
          <w:b/>
          <w:bCs/>
          <w:color w:val="363636"/>
          <w:sz w:val="24"/>
          <w:szCs w:val="24"/>
        </w:rPr>
        <w:br/>
      </w:r>
      <w:r w:rsidRPr="004C2CCE">
        <w:rPr>
          <w:rFonts w:ascii="Lato" w:eastAsia="Times New Roman" w:hAnsi="Lato" w:cs="Times New Roman"/>
          <w:color w:val="363636"/>
          <w:sz w:val="24"/>
          <w:szCs w:val="24"/>
        </w:rPr>
        <w:t>This educational program is approved by CADTP: #205.</w:t>
      </w:r>
    </w:p>
    <w:p w14:paraId="1FBBFE35" w14:textId="34C691F2" w:rsidR="008646AA" w:rsidRPr="004C2CCE" w:rsidRDefault="008646AA" w:rsidP="008646AA">
      <w:pPr>
        <w:spacing w:after="150" w:line="240" w:lineRule="auto"/>
        <w:rPr>
          <w:rFonts w:ascii="Lato" w:eastAsia="Times New Roman" w:hAnsi="Lato" w:cs="Times New Roman"/>
          <w:color w:val="363636"/>
          <w:sz w:val="24"/>
          <w:szCs w:val="24"/>
        </w:rPr>
      </w:pPr>
      <w:r w:rsidRPr="004C2CCE">
        <w:rPr>
          <w:rFonts w:ascii="Lato" w:eastAsia="Times New Roman" w:hAnsi="Lato" w:cs="Times New Roman"/>
          <w:b/>
          <w:bCs/>
          <w:color w:val="363636"/>
          <w:sz w:val="24"/>
          <w:szCs w:val="24"/>
        </w:rPr>
        <w:t>California Consortium of Addiction Programs and Professionals (CCAPP)</w:t>
      </w:r>
      <w:r w:rsidRPr="004C2CCE">
        <w:rPr>
          <w:rFonts w:ascii="Lato" w:eastAsia="Times New Roman" w:hAnsi="Lato" w:cs="Times New Roman"/>
          <w:b/>
          <w:bCs/>
          <w:color w:val="363636"/>
          <w:sz w:val="24"/>
          <w:szCs w:val="24"/>
        </w:rPr>
        <w:br/>
      </w:r>
      <w:r w:rsidRPr="004C2CCE">
        <w:rPr>
          <w:rFonts w:ascii="Lato" w:eastAsia="Times New Roman" w:hAnsi="Lato" w:cs="Times New Roman"/>
          <w:color w:val="363636"/>
          <w:sz w:val="24"/>
          <w:szCs w:val="24"/>
        </w:rPr>
        <w:t>This educational program is approved by CCAPP: #OS-20-330-122</w:t>
      </w:r>
      <w:r>
        <w:rPr>
          <w:rFonts w:ascii="Lato" w:eastAsia="Times New Roman" w:hAnsi="Lato" w:cs="Times New Roman"/>
          <w:color w:val="363636"/>
          <w:sz w:val="24"/>
          <w:szCs w:val="24"/>
        </w:rPr>
        <w:t>4</w:t>
      </w:r>
      <w:r w:rsidRPr="004C2CCE">
        <w:rPr>
          <w:rFonts w:ascii="Lato" w:eastAsia="Times New Roman" w:hAnsi="Lato" w:cs="Times New Roman"/>
          <w:color w:val="363636"/>
          <w:sz w:val="24"/>
          <w:szCs w:val="24"/>
        </w:rPr>
        <w:t>.</w:t>
      </w:r>
    </w:p>
    <w:p w14:paraId="0A13FF57" w14:textId="5FEF634A" w:rsidR="008646AA" w:rsidRPr="004C2CCE" w:rsidRDefault="00226E8F" w:rsidP="008646AA">
      <w:pPr>
        <w:spacing w:after="150" w:line="240" w:lineRule="auto"/>
        <w:rPr>
          <w:rFonts w:ascii="Lato" w:eastAsia="Times New Roman" w:hAnsi="Lato" w:cs="Times New Roman"/>
          <w:color w:val="363636"/>
          <w:sz w:val="24"/>
          <w:szCs w:val="24"/>
        </w:rPr>
      </w:pPr>
      <w:r>
        <w:rPr>
          <w:rFonts w:ascii="Lato" w:eastAsia="Times New Roman" w:hAnsi="Lato" w:cs="Times New Roman"/>
          <w:b/>
          <w:bCs/>
          <w:color w:val="363636"/>
          <w:sz w:val="24"/>
          <w:szCs w:val="24"/>
        </w:rPr>
        <w:t xml:space="preserve">Other Professions - </w:t>
      </w:r>
      <w:r w:rsidR="008646AA" w:rsidRPr="004C2CCE">
        <w:rPr>
          <w:rFonts w:ascii="Lato" w:eastAsia="Times New Roman" w:hAnsi="Lato" w:cs="Times New Roman"/>
          <w:b/>
          <w:bCs/>
          <w:color w:val="363636"/>
          <w:sz w:val="24"/>
          <w:szCs w:val="24"/>
        </w:rPr>
        <w:t>Continuing Education Credits</w:t>
      </w:r>
      <w:r w:rsidR="008646AA" w:rsidRPr="004C2CCE">
        <w:rPr>
          <w:rFonts w:ascii="Lato" w:eastAsia="Times New Roman" w:hAnsi="Lato" w:cs="Times New Roman"/>
          <w:b/>
          <w:bCs/>
          <w:color w:val="363636"/>
          <w:sz w:val="24"/>
          <w:szCs w:val="24"/>
        </w:rPr>
        <w:br/>
      </w:r>
      <w:r w:rsidR="008646AA">
        <w:rPr>
          <w:rFonts w:ascii="Lato" w:eastAsia="Times New Roman" w:hAnsi="Lato" w:cs="Times New Roman"/>
          <w:color w:val="363636"/>
          <w:sz w:val="24"/>
          <w:szCs w:val="24"/>
        </w:rPr>
        <w:t>U</w:t>
      </w:r>
      <w:r w:rsidR="008646AA" w:rsidRPr="004C2CCE">
        <w:rPr>
          <w:rFonts w:ascii="Lato" w:eastAsia="Times New Roman" w:hAnsi="Lato" w:cs="Times New Roman"/>
          <w:color w:val="363636"/>
          <w:sz w:val="24"/>
          <w:szCs w:val="24"/>
        </w:rPr>
        <w:t xml:space="preserve">pon completion of the activity </w:t>
      </w:r>
      <w:r w:rsidR="008646AA">
        <w:rPr>
          <w:rFonts w:ascii="Lato" w:eastAsia="Times New Roman" w:hAnsi="Lato" w:cs="Times New Roman"/>
          <w:color w:val="363636"/>
          <w:sz w:val="24"/>
          <w:szCs w:val="24"/>
        </w:rPr>
        <w:t xml:space="preserve">and </w:t>
      </w:r>
      <w:r w:rsidR="008646AA" w:rsidRPr="004C2CCE">
        <w:rPr>
          <w:rFonts w:ascii="Lato" w:eastAsia="Times New Roman" w:hAnsi="Lato" w:cs="Times New Roman"/>
          <w:color w:val="363636"/>
          <w:sz w:val="24"/>
          <w:szCs w:val="24"/>
        </w:rPr>
        <w:t>online evaluation</w:t>
      </w:r>
      <w:r w:rsidR="008646AA">
        <w:rPr>
          <w:rFonts w:ascii="Lato" w:eastAsia="Times New Roman" w:hAnsi="Lato" w:cs="Times New Roman"/>
          <w:color w:val="363636"/>
          <w:sz w:val="24"/>
          <w:szCs w:val="24"/>
        </w:rPr>
        <w:t xml:space="preserve">, </w:t>
      </w:r>
      <w:r w:rsidR="008646AA" w:rsidRPr="004C2CCE">
        <w:rPr>
          <w:rFonts w:ascii="Lato" w:eastAsia="Times New Roman" w:hAnsi="Lato" w:cs="Times New Roman"/>
          <w:color w:val="363636"/>
          <w:sz w:val="24"/>
          <w:szCs w:val="24"/>
        </w:rPr>
        <w:t xml:space="preserve">all </w:t>
      </w:r>
      <w:r w:rsidR="008646AA">
        <w:rPr>
          <w:rFonts w:ascii="Lato" w:eastAsia="Times New Roman" w:hAnsi="Lato" w:cs="Times New Roman"/>
          <w:color w:val="363636"/>
          <w:sz w:val="24"/>
          <w:szCs w:val="24"/>
        </w:rPr>
        <w:t xml:space="preserve">other </w:t>
      </w:r>
      <w:r w:rsidR="008646AA" w:rsidRPr="004C2CCE">
        <w:rPr>
          <w:rFonts w:ascii="Lato" w:eastAsia="Times New Roman" w:hAnsi="Lato" w:cs="Times New Roman"/>
          <w:color w:val="363636"/>
          <w:sz w:val="24"/>
          <w:szCs w:val="24"/>
        </w:rPr>
        <w:t xml:space="preserve">participants </w:t>
      </w:r>
      <w:r w:rsidR="008646AA">
        <w:rPr>
          <w:rFonts w:ascii="Lato" w:eastAsia="Times New Roman" w:hAnsi="Lato" w:cs="Times New Roman"/>
          <w:color w:val="363636"/>
          <w:sz w:val="24"/>
          <w:szCs w:val="24"/>
        </w:rPr>
        <w:t>may request</w:t>
      </w:r>
      <w:r w:rsidR="008646AA" w:rsidRPr="004C2CCE">
        <w:rPr>
          <w:rFonts w:ascii="Lato" w:eastAsia="Times New Roman" w:hAnsi="Lato" w:cs="Times New Roman"/>
          <w:color w:val="363636"/>
          <w:sz w:val="24"/>
          <w:szCs w:val="24"/>
        </w:rPr>
        <w:t xml:space="preserve"> a certificate of </w:t>
      </w:r>
      <w:r w:rsidR="008646AA">
        <w:rPr>
          <w:rFonts w:ascii="Lato" w:eastAsia="Times New Roman" w:hAnsi="Lato" w:cs="Times New Roman"/>
          <w:color w:val="363636"/>
          <w:sz w:val="24"/>
          <w:szCs w:val="24"/>
        </w:rPr>
        <w:t>participation</w:t>
      </w:r>
      <w:r w:rsidR="008646AA" w:rsidRPr="004C2CCE">
        <w:rPr>
          <w:rFonts w:ascii="Lato" w:eastAsia="Times New Roman" w:hAnsi="Lato" w:cs="Times New Roman"/>
          <w:color w:val="363636"/>
          <w:sz w:val="24"/>
          <w:szCs w:val="24"/>
        </w:rPr>
        <w:t xml:space="preserve">. Participants </w:t>
      </w:r>
      <w:r w:rsidR="008646AA">
        <w:rPr>
          <w:rFonts w:ascii="Lato" w:eastAsia="Times New Roman" w:hAnsi="Lato" w:cs="Times New Roman"/>
          <w:color w:val="363636"/>
          <w:sz w:val="24"/>
          <w:szCs w:val="24"/>
        </w:rPr>
        <w:t>may</w:t>
      </w:r>
      <w:r w:rsidR="008646AA" w:rsidRPr="004C2CCE">
        <w:rPr>
          <w:rFonts w:ascii="Lato" w:eastAsia="Times New Roman" w:hAnsi="Lato" w:cs="Times New Roman"/>
          <w:color w:val="363636"/>
          <w:sz w:val="24"/>
          <w:szCs w:val="24"/>
        </w:rPr>
        <w:t xml:space="preserve"> submit </w:t>
      </w:r>
      <w:r w:rsidR="008646AA">
        <w:rPr>
          <w:rFonts w:ascii="Lato" w:eastAsia="Times New Roman" w:hAnsi="Lato" w:cs="Times New Roman"/>
          <w:color w:val="363636"/>
          <w:sz w:val="24"/>
          <w:szCs w:val="24"/>
        </w:rPr>
        <w:t xml:space="preserve">this </w:t>
      </w:r>
      <w:r w:rsidR="008646AA" w:rsidRPr="004C2CCE">
        <w:rPr>
          <w:rFonts w:ascii="Lato" w:eastAsia="Times New Roman" w:hAnsi="Lato" w:cs="Times New Roman"/>
          <w:color w:val="363636"/>
          <w:sz w:val="24"/>
          <w:szCs w:val="24"/>
        </w:rPr>
        <w:t xml:space="preserve">certificate of </w:t>
      </w:r>
      <w:r w:rsidR="008646AA">
        <w:rPr>
          <w:rFonts w:ascii="Lato" w:eastAsia="Times New Roman" w:hAnsi="Lato" w:cs="Times New Roman"/>
          <w:color w:val="363636"/>
          <w:sz w:val="24"/>
          <w:szCs w:val="24"/>
        </w:rPr>
        <w:t>participation</w:t>
      </w:r>
      <w:r w:rsidR="008646AA" w:rsidRPr="004C2CCE">
        <w:rPr>
          <w:rFonts w:ascii="Lato" w:eastAsia="Times New Roman" w:hAnsi="Lato" w:cs="Times New Roman"/>
          <w:color w:val="363636"/>
          <w:sz w:val="24"/>
          <w:szCs w:val="24"/>
        </w:rPr>
        <w:t xml:space="preserve"> to their professional organization/institute</w:t>
      </w:r>
      <w:r w:rsidR="008646AA">
        <w:rPr>
          <w:rFonts w:ascii="Lato" w:eastAsia="Times New Roman" w:hAnsi="Lato" w:cs="Times New Roman"/>
          <w:color w:val="363636"/>
          <w:sz w:val="24"/>
          <w:szCs w:val="24"/>
        </w:rPr>
        <w:t xml:space="preserve"> as documentation for completing this accredited continuing activity</w:t>
      </w:r>
      <w:r w:rsidR="008646AA" w:rsidRPr="004C2CCE">
        <w:rPr>
          <w:rFonts w:ascii="Lato" w:eastAsia="Times New Roman" w:hAnsi="Lato" w:cs="Times New Roman"/>
          <w:color w:val="363636"/>
          <w:sz w:val="24"/>
          <w:szCs w:val="24"/>
        </w:rPr>
        <w:t>.</w:t>
      </w:r>
    </w:p>
    <w:p w14:paraId="3C37560B" w14:textId="0D7861C0" w:rsidR="008646AA" w:rsidRPr="004C2CCE" w:rsidRDefault="008646AA" w:rsidP="008646AA">
      <w:pPr>
        <w:spacing w:before="161" w:after="150" w:line="240" w:lineRule="auto"/>
        <w:outlineLvl w:val="3"/>
        <w:rPr>
          <w:rFonts w:ascii="Lato" w:eastAsia="Times New Roman" w:hAnsi="Lato" w:cs="Times New Roman"/>
          <w:b/>
          <w:bCs/>
          <w:color w:val="363636"/>
          <w:sz w:val="34"/>
          <w:szCs w:val="34"/>
        </w:rPr>
      </w:pPr>
      <w:r w:rsidRPr="004C2CCE">
        <w:rPr>
          <w:rFonts w:ascii="Lato" w:eastAsia="Times New Roman" w:hAnsi="Lato" w:cs="Times New Roman"/>
          <w:b/>
          <w:bCs/>
          <w:color w:val="363636"/>
          <w:sz w:val="34"/>
          <w:szCs w:val="34"/>
        </w:rPr>
        <w:t>Maintenance of Certification (MOC) or Continuing Certification Programs (CCP)</w:t>
      </w:r>
    </w:p>
    <w:p w14:paraId="31ECA8A2" w14:textId="4E1B4F2B" w:rsidR="008646AA" w:rsidRPr="009F64B3" w:rsidRDefault="008646AA" w:rsidP="008646AA">
      <w:pPr>
        <w:rPr>
          <w:rFonts w:ascii="Lato" w:hAnsi="Lato"/>
        </w:rPr>
      </w:pPr>
      <w:r w:rsidRPr="009F64B3">
        <w:rPr>
          <w:rFonts w:ascii="Lato" w:hAnsi="Lato"/>
        </w:rPr>
        <w:t xml:space="preserve">MOC Credit is reported for ABA, ABP, ABIM, and ABS. By completing the online credit application and evaluation, the learner permits ASAM to report credits to the appropriate Board. </w:t>
      </w:r>
      <w:hyperlink r:id="rId9" w:history="1">
        <w:r w:rsidRPr="009F64B3">
          <w:rPr>
            <w:rStyle w:val="Hyperlink"/>
            <w:rFonts w:ascii="Lato" w:hAnsi="Lato"/>
          </w:rPr>
          <w:t>Learn more</w:t>
        </w:r>
      </w:hyperlink>
      <w:r w:rsidRPr="009F64B3">
        <w:rPr>
          <w:rFonts w:ascii="Lato" w:hAnsi="Lato"/>
        </w:rPr>
        <w:t>.</w:t>
      </w:r>
    </w:p>
    <w:p w14:paraId="180F8B4B" w14:textId="05167D3E" w:rsidR="001F3FAA" w:rsidRPr="008D4A15" w:rsidRDefault="001F3FAA" w:rsidP="00344594">
      <w:pPr>
        <w:spacing w:after="150" w:line="240" w:lineRule="auto"/>
        <w:rPr>
          <w:rFonts w:ascii="Lato" w:eastAsia="Times New Roman" w:hAnsi="Lato" w:cs="Times New Roman"/>
          <w:b/>
          <w:bCs/>
          <w:color w:val="363636"/>
          <w:sz w:val="24"/>
          <w:szCs w:val="24"/>
        </w:rPr>
      </w:pPr>
      <w:r w:rsidRPr="008D4A15">
        <w:rPr>
          <w:rFonts w:ascii="Lato" w:eastAsia="Times New Roman" w:hAnsi="Lato" w:cs="Times New Roman"/>
          <w:b/>
          <w:bCs/>
          <w:color w:val="363636"/>
          <w:sz w:val="24"/>
          <w:szCs w:val="24"/>
        </w:rPr>
        <w:t>American Board of Anesthesiology (ABA) – With Patient Safety</w:t>
      </w:r>
      <w:r w:rsidRPr="008D4A15">
        <w:rPr>
          <w:rFonts w:ascii="Lato" w:eastAsia="Times New Roman" w:hAnsi="Lato" w:cs="Times New Roman"/>
          <w:b/>
          <w:bCs/>
          <w:color w:val="363636"/>
          <w:sz w:val="24"/>
          <w:szCs w:val="24"/>
        </w:rPr>
        <w:br/>
      </w:r>
      <w:r w:rsidRPr="008D4A15">
        <w:rPr>
          <w:rFonts w:ascii="Lato" w:eastAsia="Times New Roman" w:hAnsi="Lato" w:cs="Times New Roman"/>
          <w:color w:val="363636"/>
          <w:sz w:val="24"/>
          <w:szCs w:val="24"/>
        </w:rPr>
        <w:t xml:space="preserve">This activity </w:t>
      </w:r>
      <w:r w:rsidR="00344594" w:rsidRPr="008D4A15">
        <w:rPr>
          <w:rFonts w:ascii="Lato" w:eastAsia="Times New Roman" w:hAnsi="Lato" w:cs="Times New Roman"/>
          <w:color w:val="363636"/>
          <w:sz w:val="24"/>
          <w:szCs w:val="24"/>
        </w:rPr>
        <w:t xml:space="preserve">offers up to </w:t>
      </w:r>
      <w:r w:rsidR="008D4A15" w:rsidRPr="008D4A15">
        <w:rPr>
          <w:rFonts w:ascii="Lato" w:eastAsia="Times New Roman" w:hAnsi="Lato" w:cs="Times New Roman"/>
          <w:color w:val="363636"/>
          <w:sz w:val="24"/>
          <w:szCs w:val="24"/>
        </w:rPr>
        <w:t>16</w:t>
      </w:r>
      <w:r w:rsidR="00344594" w:rsidRPr="008D4A15">
        <w:rPr>
          <w:rFonts w:ascii="Lato" w:eastAsia="Times New Roman" w:hAnsi="Lato" w:cs="Times New Roman"/>
          <w:color w:val="363636"/>
          <w:sz w:val="24"/>
          <w:szCs w:val="24"/>
        </w:rPr>
        <w:t xml:space="preserve"> CME credits, of which </w:t>
      </w:r>
      <w:r w:rsidR="008D4A15" w:rsidRPr="008D4A15">
        <w:rPr>
          <w:rFonts w:ascii="Lato" w:eastAsia="Times New Roman" w:hAnsi="Lato" w:cs="Times New Roman"/>
          <w:color w:val="363636"/>
          <w:sz w:val="24"/>
          <w:szCs w:val="24"/>
        </w:rPr>
        <w:t>16</w:t>
      </w:r>
      <w:r w:rsidR="00344594" w:rsidRPr="008D4A15">
        <w:rPr>
          <w:rFonts w:ascii="Lato" w:eastAsia="Times New Roman" w:hAnsi="Lato" w:cs="Times New Roman"/>
          <w:color w:val="363636"/>
          <w:sz w:val="24"/>
          <w:szCs w:val="24"/>
        </w:rPr>
        <w:t xml:space="preserve"> credits contribute the patient safety CME component of the American Board of Anesthesiology’s redesigned Maintenance of Certification in Anesthesiology</w:t>
      </w:r>
      <w:r w:rsidR="00344594" w:rsidRPr="008D4A15">
        <w:rPr>
          <w:rFonts w:ascii="Lato" w:eastAsia="Times New Roman" w:hAnsi="Lato" w:cs="Times New Roman"/>
          <w:color w:val="363636"/>
          <w:sz w:val="24"/>
          <w:szCs w:val="24"/>
          <w:vertAlign w:val="superscript"/>
        </w:rPr>
        <w:t>TM</w:t>
      </w:r>
      <w:r w:rsidR="00344594" w:rsidRPr="008D4A15">
        <w:rPr>
          <w:rFonts w:ascii="Lato" w:eastAsia="Times New Roman" w:hAnsi="Lato" w:cs="Times New Roman"/>
          <w:color w:val="363636"/>
          <w:sz w:val="24"/>
          <w:szCs w:val="24"/>
        </w:rPr>
        <w:t xml:space="preserve"> (MOCA®) program, known as MOCA 2.0®</w:t>
      </w:r>
      <w:r w:rsidRPr="008D4A15">
        <w:rPr>
          <w:rFonts w:ascii="Lato" w:eastAsia="Times New Roman" w:hAnsi="Lato" w:cs="Times New Roman"/>
          <w:color w:val="363636"/>
          <w:sz w:val="24"/>
          <w:szCs w:val="24"/>
        </w:rPr>
        <w:t xml:space="preserve">. Please consult the ABA website, </w:t>
      </w:r>
      <w:hyperlink r:id="rId10" w:history="1">
        <w:r w:rsidRPr="008D4A15">
          <w:rPr>
            <w:rStyle w:val="Hyperlink"/>
            <w:rFonts w:ascii="Lato" w:eastAsia="Times New Roman" w:hAnsi="Lato" w:cs="Times New Roman"/>
            <w:sz w:val="24"/>
            <w:szCs w:val="24"/>
          </w:rPr>
          <w:t>www.theABA.org</w:t>
        </w:r>
      </w:hyperlink>
      <w:r w:rsidRPr="008D4A15">
        <w:rPr>
          <w:rFonts w:ascii="Lato" w:eastAsia="Times New Roman" w:hAnsi="Lato" w:cs="Times New Roman"/>
          <w:color w:val="363636"/>
          <w:sz w:val="24"/>
          <w:szCs w:val="24"/>
        </w:rPr>
        <w:t>, for a list of all MOCA 2.0 requirements.</w:t>
      </w:r>
    </w:p>
    <w:p w14:paraId="5D50FE31" w14:textId="1252FC22" w:rsidR="00A97B3D" w:rsidRPr="008D4A15" w:rsidRDefault="00231DE3" w:rsidP="00A97B3D">
      <w:pPr>
        <w:spacing w:after="150" w:line="240" w:lineRule="auto"/>
        <w:rPr>
          <w:rFonts w:ascii="Lato" w:eastAsia="Times New Roman" w:hAnsi="Lato" w:cs="Times New Roman"/>
          <w:color w:val="363636"/>
          <w:sz w:val="24"/>
          <w:szCs w:val="24"/>
        </w:rPr>
      </w:pPr>
      <w:r w:rsidRPr="008D4A15">
        <w:rPr>
          <w:rFonts w:ascii="Lato" w:eastAsia="Times New Roman" w:hAnsi="Lato" w:cs="Times New Roman"/>
          <w:b/>
          <w:bCs/>
          <w:color w:val="363636"/>
          <w:sz w:val="24"/>
          <w:szCs w:val="24"/>
        </w:rPr>
        <w:t>American Board of Internal Medicine (ABIM)</w:t>
      </w:r>
      <w:r w:rsidR="00A97B3D" w:rsidRPr="008D4A15">
        <w:rPr>
          <w:rFonts w:ascii="Lato" w:eastAsia="Times New Roman" w:hAnsi="Lato" w:cs="Times New Roman"/>
          <w:b/>
          <w:bCs/>
          <w:color w:val="363636"/>
          <w:sz w:val="24"/>
          <w:szCs w:val="24"/>
        </w:rPr>
        <w:br/>
      </w:r>
      <w:r w:rsidRPr="008D4A15">
        <w:rPr>
          <w:rFonts w:ascii="Lato" w:eastAsia="Times New Roman" w:hAnsi="Lato" w:cs="Times New Roman"/>
          <w:color w:val="363636"/>
          <w:sz w:val="24"/>
          <w:szCs w:val="24"/>
        </w:rPr>
        <w:t xml:space="preserve">Successful completion of this CME activity, which includes participation in the evaluation component, enables the participant to earn up to </w:t>
      </w:r>
      <w:r w:rsidR="008D4A15" w:rsidRPr="008D4A15">
        <w:rPr>
          <w:rFonts w:ascii="Lato" w:eastAsia="Times New Roman" w:hAnsi="Lato" w:cs="Times New Roman"/>
          <w:color w:val="363636"/>
          <w:sz w:val="24"/>
          <w:szCs w:val="24"/>
        </w:rPr>
        <w:t>16</w:t>
      </w:r>
      <w:r w:rsidRPr="008D4A15">
        <w:rPr>
          <w:rFonts w:ascii="Lato" w:eastAsia="Times New Roman" w:hAnsi="Lato" w:cs="Times New Roman"/>
          <w:color w:val="363636"/>
          <w:sz w:val="24"/>
          <w:szCs w:val="24"/>
        </w:rPr>
        <w:t xml:space="preserve"> Medical Knowledge MOC points and patient safety MOC credit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p w14:paraId="3F08A2D4" w14:textId="7F65A54D" w:rsidR="00064355" w:rsidRPr="008D4A15" w:rsidRDefault="00064355" w:rsidP="00064355">
      <w:pPr>
        <w:spacing w:after="0" w:line="240" w:lineRule="auto"/>
        <w:rPr>
          <w:rFonts w:ascii="Lato" w:eastAsia="Times New Roman" w:hAnsi="Lato" w:cs="Times New Roman"/>
          <w:color w:val="363636"/>
          <w:sz w:val="24"/>
          <w:szCs w:val="24"/>
        </w:rPr>
      </w:pPr>
      <w:r w:rsidRPr="008D4A15">
        <w:rPr>
          <w:rFonts w:ascii="Lato" w:eastAsia="Times New Roman" w:hAnsi="Lato" w:cs="Times New Roman"/>
          <w:b/>
          <w:bCs/>
          <w:color w:val="363636"/>
          <w:sz w:val="24"/>
          <w:szCs w:val="24"/>
        </w:rPr>
        <w:t>American Board of Pediatrics (ABP)</w:t>
      </w:r>
    </w:p>
    <w:p w14:paraId="107103D5" w14:textId="77777777" w:rsidR="00064355" w:rsidRPr="008D4A15" w:rsidRDefault="00064355" w:rsidP="00064355">
      <w:pPr>
        <w:spacing w:after="0" w:line="240" w:lineRule="auto"/>
        <w:rPr>
          <w:rFonts w:ascii="Lato" w:eastAsia="Times New Roman" w:hAnsi="Lato" w:cs="Times New Roman"/>
          <w:color w:val="363636"/>
          <w:sz w:val="24"/>
          <w:szCs w:val="24"/>
        </w:rPr>
      </w:pPr>
      <w:r w:rsidRPr="008D4A15">
        <w:rPr>
          <w:rFonts w:ascii="Lato" w:eastAsia="Times New Roman" w:hAnsi="Lato" w:cs="Times New Roman"/>
          <w:color w:val="363636"/>
          <w:sz w:val="24"/>
          <w:szCs w:val="24"/>
        </w:rPr>
        <w:lastRenderedPageBreak/>
        <w:t>Successful completion of this CME activity, which includes participation in the evaluation</w:t>
      </w:r>
    </w:p>
    <w:p w14:paraId="5AACC0CB" w14:textId="2A87F289" w:rsidR="00064355" w:rsidRPr="008D4A15" w:rsidRDefault="00064355" w:rsidP="00064355">
      <w:pPr>
        <w:spacing w:after="0" w:line="240" w:lineRule="auto"/>
        <w:rPr>
          <w:rFonts w:ascii="Lato" w:eastAsia="Times New Roman" w:hAnsi="Lato" w:cs="Times New Roman"/>
          <w:color w:val="363636"/>
          <w:sz w:val="24"/>
          <w:szCs w:val="24"/>
        </w:rPr>
      </w:pPr>
      <w:r w:rsidRPr="008D4A15">
        <w:rPr>
          <w:rFonts w:ascii="Lato" w:eastAsia="Times New Roman" w:hAnsi="Lato" w:cs="Times New Roman"/>
          <w:color w:val="363636"/>
          <w:sz w:val="24"/>
          <w:szCs w:val="24"/>
        </w:rPr>
        <w:t xml:space="preserve">component, enables the learner to earn up to </w:t>
      </w:r>
      <w:r w:rsidR="008D4A15" w:rsidRPr="008D4A15">
        <w:rPr>
          <w:rFonts w:ascii="Lato" w:eastAsia="Times New Roman" w:hAnsi="Lato" w:cs="Times New Roman"/>
          <w:color w:val="363636"/>
          <w:sz w:val="24"/>
          <w:szCs w:val="24"/>
        </w:rPr>
        <w:t>16</w:t>
      </w:r>
      <w:r w:rsidRPr="008D4A15">
        <w:rPr>
          <w:rFonts w:ascii="Lato" w:eastAsia="Times New Roman" w:hAnsi="Lato" w:cs="Times New Roman"/>
          <w:color w:val="363636"/>
          <w:sz w:val="24"/>
          <w:szCs w:val="24"/>
        </w:rPr>
        <w:t xml:space="preserve"> MOC points in the American Board of</w:t>
      </w:r>
    </w:p>
    <w:p w14:paraId="306D115A" w14:textId="77777777" w:rsidR="00064355" w:rsidRPr="008D4A15" w:rsidRDefault="00064355" w:rsidP="00064355">
      <w:pPr>
        <w:spacing w:after="0" w:line="240" w:lineRule="auto"/>
        <w:rPr>
          <w:rFonts w:ascii="Lato" w:eastAsia="Times New Roman" w:hAnsi="Lato" w:cs="Times New Roman"/>
          <w:color w:val="363636"/>
          <w:sz w:val="24"/>
          <w:szCs w:val="24"/>
        </w:rPr>
      </w:pPr>
      <w:r w:rsidRPr="008D4A15">
        <w:rPr>
          <w:rFonts w:ascii="Lato" w:eastAsia="Times New Roman" w:hAnsi="Lato" w:cs="Times New Roman"/>
          <w:color w:val="363636"/>
          <w:sz w:val="24"/>
          <w:szCs w:val="24"/>
        </w:rPr>
        <w:t>Pediatrics’ (ABP) Maintenance of Certification (MOC) program. It is the CME activity provider’s</w:t>
      </w:r>
    </w:p>
    <w:p w14:paraId="633F68DC" w14:textId="77777777" w:rsidR="00064355" w:rsidRPr="00064355" w:rsidRDefault="00064355" w:rsidP="00064355">
      <w:pPr>
        <w:spacing w:after="0" w:line="240" w:lineRule="auto"/>
        <w:rPr>
          <w:rFonts w:ascii="Lato" w:eastAsia="Times New Roman" w:hAnsi="Lato" w:cs="Times New Roman"/>
          <w:color w:val="363636"/>
          <w:sz w:val="24"/>
          <w:szCs w:val="24"/>
        </w:rPr>
      </w:pPr>
      <w:r w:rsidRPr="008D4A15">
        <w:rPr>
          <w:rFonts w:ascii="Lato" w:eastAsia="Times New Roman" w:hAnsi="Lato" w:cs="Times New Roman"/>
          <w:color w:val="363636"/>
          <w:sz w:val="24"/>
          <w:szCs w:val="24"/>
        </w:rPr>
        <w:t>responsibility to submit learner completion information to ACCME for the purpose</w:t>
      </w:r>
      <w:r w:rsidRPr="00064355">
        <w:rPr>
          <w:rFonts w:ascii="Lato" w:eastAsia="Times New Roman" w:hAnsi="Lato" w:cs="Times New Roman"/>
          <w:color w:val="363636"/>
          <w:sz w:val="24"/>
          <w:szCs w:val="24"/>
        </w:rPr>
        <w:t xml:space="preserve"> of granting ABP</w:t>
      </w:r>
    </w:p>
    <w:p w14:paraId="771300A3" w14:textId="77777777" w:rsidR="00502BD5" w:rsidRDefault="00064355" w:rsidP="00064355">
      <w:pPr>
        <w:spacing w:after="0" w:line="240" w:lineRule="auto"/>
        <w:rPr>
          <w:rFonts w:ascii="Lato" w:eastAsia="Times New Roman" w:hAnsi="Lato" w:cs="Times New Roman"/>
          <w:color w:val="363636"/>
          <w:sz w:val="24"/>
          <w:szCs w:val="24"/>
        </w:rPr>
      </w:pPr>
      <w:r w:rsidRPr="00064355">
        <w:rPr>
          <w:rFonts w:ascii="Lato" w:eastAsia="Times New Roman" w:hAnsi="Lato" w:cs="Times New Roman"/>
          <w:color w:val="363636"/>
          <w:sz w:val="24"/>
          <w:szCs w:val="24"/>
        </w:rPr>
        <w:t>MOC credit.</w:t>
      </w:r>
    </w:p>
    <w:p w14:paraId="06446D7E" w14:textId="5AE0A47C" w:rsidR="00064355" w:rsidRDefault="00064355" w:rsidP="00502BD5">
      <w:pPr>
        <w:spacing w:before="240" w:after="0" w:line="240" w:lineRule="auto"/>
        <w:rPr>
          <w:rFonts w:ascii="Lato" w:eastAsia="Times New Roman" w:hAnsi="Lato" w:cs="Times New Roman"/>
          <w:color w:val="363636"/>
          <w:sz w:val="24"/>
          <w:szCs w:val="24"/>
        </w:rPr>
      </w:pPr>
      <w:r>
        <w:rPr>
          <w:rFonts w:ascii="Lato" w:eastAsia="Times New Roman" w:hAnsi="Lato" w:cs="Times New Roman"/>
          <w:b/>
          <w:bCs/>
          <w:color w:val="363636"/>
          <w:sz w:val="24"/>
          <w:szCs w:val="24"/>
        </w:rPr>
        <w:t>American Board of Surgery (ABS)</w:t>
      </w:r>
    </w:p>
    <w:p w14:paraId="0211F72F" w14:textId="456309E6" w:rsidR="00064355" w:rsidRPr="004C2CCE" w:rsidRDefault="00AF0967" w:rsidP="00AF0967">
      <w:pPr>
        <w:spacing w:after="0" w:line="240" w:lineRule="auto"/>
        <w:rPr>
          <w:rFonts w:ascii="Lato" w:eastAsia="Times New Roman" w:hAnsi="Lato" w:cs="Times New Roman"/>
          <w:color w:val="363636"/>
          <w:sz w:val="24"/>
          <w:szCs w:val="24"/>
        </w:rPr>
      </w:pPr>
      <w:r w:rsidRPr="00AF0967">
        <w:rPr>
          <w:rFonts w:ascii="Lato" w:eastAsia="Times New Roman" w:hAnsi="Lato" w:cs="Times New Roman"/>
          <w:color w:val="363636"/>
          <w:sz w:val="24"/>
          <w:szCs w:val="24"/>
        </w:rPr>
        <w:t>Successful completion of this CME activity, which includes participation in the evaluation component</w:t>
      </w:r>
      <w:r>
        <w:rPr>
          <w:rFonts w:ascii="Lato" w:eastAsia="Times New Roman" w:hAnsi="Lato" w:cs="Times New Roman"/>
          <w:color w:val="363636"/>
          <w:sz w:val="24"/>
          <w:szCs w:val="24"/>
        </w:rPr>
        <w:t xml:space="preserve">, </w:t>
      </w:r>
      <w:r w:rsidRPr="00AF0967">
        <w:rPr>
          <w:rFonts w:ascii="Lato" w:eastAsia="Times New Roman" w:hAnsi="Lato" w:cs="Times New Roman"/>
          <w:color w:val="363636"/>
          <w:sz w:val="24"/>
          <w:szCs w:val="24"/>
        </w:rPr>
        <w:t>enables the learner to earn credit toward the CME and Self-Assessment requirement(s) of the American</w:t>
      </w:r>
      <w:r>
        <w:rPr>
          <w:rFonts w:ascii="Lato" w:eastAsia="Times New Roman" w:hAnsi="Lato" w:cs="Times New Roman"/>
          <w:color w:val="363636"/>
          <w:sz w:val="24"/>
          <w:szCs w:val="24"/>
        </w:rPr>
        <w:t xml:space="preserve"> </w:t>
      </w:r>
      <w:r w:rsidRPr="00AF0967">
        <w:rPr>
          <w:rFonts w:ascii="Lato" w:eastAsia="Times New Roman" w:hAnsi="Lato" w:cs="Times New Roman"/>
          <w:color w:val="363636"/>
          <w:sz w:val="24"/>
          <w:szCs w:val="24"/>
        </w:rPr>
        <w:t>Board of Surgery’s Continuous Certification program. It is the CME activity provider's responsibility to</w:t>
      </w:r>
      <w:r w:rsidR="00992B99">
        <w:rPr>
          <w:rFonts w:ascii="Lato" w:eastAsia="Times New Roman" w:hAnsi="Lato" w:cs="Times New Roman"/>
          <w:color w:val="363636"/>
          <w:sz w:val="24"/>
          <w:szCs w:val="24"/>
        </w:rPr>
        <w:t xml:space="preserve"> </w:t>
      </w:r>
      <w:r w:rsidRPr="00AF0967">
        <w:rPr>
          <w:rFonts w:ascii="Lato" w:eastAsia="Times New Roman" w:hAnsi="Lato" w:cs="Times New Roman"/>
          <w:color w:val="363636"/>
          <w:sz w:val="24"/>
          <w:szCs w:val="24"/>
        </w:rPr>
        <w:t>submit learner completion information to ACCME for the purpose of granting ABS credit.</w:t>
      </w:r>
    </w:p>
    <w:sectPr w:rsidR="00064355" w:rsidRPr="004C2CCE" w:rsidSect="007814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716F"/>
    <w:multiLevelType w:val="hybridMultilevel"/>
    <w:tmpl w:val="09D21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352F8"/>
    <w:multiLevelType w:val="hybridMultilevel"/>
    <w:tmpl w:val="66B8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66CC7"/>
    <w:multiLevelType w:val="hybridMultilevel"/>
    <w:tmpl w:val="ABE4CB18"/>
    <w:lvl w:ilvl="0" w:tplc="BF409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706131">
    <w:abstractNumId w:val="1"/>
  </w:num>
  <w:num w:numId="2" w16cid:durableId="2088452319">
    <w:abstractNumId w:val="2"/>
  </w:num>
  <w:num w:numId="3" w16cid:durableId="146997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AA"/>
    <w:rsid w:val="00035C78"/>
    <w:rsid w:val="00063565"/>
    <w:rsid w:val="00064355"/>
    <w:rsid w:val="000817FD"/>
    <w:rsid w:val="00104305"/>
    <w:rsid w:val="00135AC3"/>
    <w:rsid w:val="001A65ED"/>
    <w:rsid w:val="001F3FAA"/>
    <w:rsid w:val="00226E8F"/>
    <w:rsid w:val="00231DE3"/>
    <w:rsid w:val="00274807"/>
    <w:rsid w:val="002D79A1"/>
    <w:rsid w:val="00344594"/>
    <w:rsid w:val="00346A7E"/>
    <w:rsid w:val="004247D9"/>
    <w:rsid w:val="004B57C0"/>
    <w:rsid w:val="00502BD5"/>
    <w:rsid w:val="00503F3B"/>
    <w:rsid w:val="006D667F"/>
    <w:rsid w:val="00716145"/>
    <w:rsid w:val="0078141D"/>
    <w:rsid w:val="00792170"/>
    <w:rsid w:val="007A245A"/>
    <w:rsid w:val="0083564A"/>
    <w:rsid w:val="008646AA"/>
    <w:rsid w:val="008D4A15"/>
    <w:rsid w:val="00990A68"/>
    <w:rsid w:val="00992B99"/>
    <w:rsid w:val="009F64B3"/>
    <w:rsid w:val="00A243D3"/>
    <w:rsid w:val="00A97B3D"/>
    <w:rsid w:val="00AD0207"/>
    <w:rsid w:val="00AF0967"/>
    <w:rsid w:val="00B83394"/>
    <w:rsid w:val="00BC5568"/>
    <w:rsid w:val="00BF60DF"/>
    <w:rsid w:val="00C62F9D"/>
    <w:rsid w:val="00D22641"/>
    <w:rsid w:val="00D54FB5"/>
    <w:rsid w:val="00DC6D8F"/>
    <w:rsid w:val="00E1007F"/>
    <w:rsid w:val="00E6102B"/>
    <w:rsid w:val="00ED0320"/>
    <w:rsid w:val="00EE6E53"/>
    <w:rsid w:val="00FB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9C98"/>
  <w15:chartTrackingRefBased/>
  <w15:docId w15:val="{902B23D3-7023-48D3-A6B5-1B824B1C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A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AA"/>
    <w:pPr>
      <w:ind w:left="720"/>
      <w:contextualSpacing/>
    </w:pPr>
  </w:style>
  <w:style w:type="character" w:styleId="Hyperlink">
    <w:name w:val="Hyperlink"/>
    <w:basedOn w:val="DefaultParagraphFont"/>
    <w:uiPriority w:val="99"/>
    <w:unhideWhenUsed/>
    <w:rsid w:val="008646AA"/>
    <w:rPr>
      <w:color w:val="0563C1" w:themeColor="hyperlink"/>
      <w:u w:val="single"/>
    </w:rPr>
  </w:style>
  <w:style w:type="character" w:styleId="CommentReference">
    <w:name w:val="annotation reference"/>
    <w:basedOn w:val="DefaultParagraphFont"/>
    <w:uiPriority w:val="99"/>
    <w:semiHidden/>
    <w:unhideWhenUsed/>
    <w:rsid w:val="008646AA"/>
    <w:rPr>
      <w:sz w:val="16"/>
      <w:szCs w:val="16"/>
    </w:rPr>
  </w:style>
  <w:style w:type="paragraph" w:styleId="CommentText">
    <w:name w:val="annotation text"/>
    <w:basedOn w:val="Normal"/>
    <w:link w:val="CommentTextChar"/>
    <w:uiPriority w:val="99"/>
    <w:unhideWhenUsed/>
    <w:rsid w:val="008646AA"/>
    <w:pPr>
      <w:spacing w:line="240" w:lineRule="auto"/>
    </w:pPr>
    <w:rPr>
      <w:sz w:val="20"/>
      <w:szCs w:val="20"/>
    </w:rPr>
  </w:style>
  <w:style w:type="character" w:customStyle="1" w:styleId="CommentTextChar">
    <w:name w:val="Comment Text Char"/>
    <w:basedOn w:val="DefaultParagraphFont"/>
    <w:link w:val="CommentText"/>
    <w:uiPriority w:val="99"/>
    <w:rsid w:val="008646AA"/>
    <w:rPr>
      <w:kern w:val="0"/>
      <w:sz w:val="20"/>
      <w:szCs w:val="20"/>
      <w14:ligatures w14:val="none"/>
    </w:rPr>
  </w:style>
  <w:style w:type="character" w:styleId="UnresolvedMention">
    <w:name w:val="Unresolved Mention"/>
    <w:basedOn w:val="DefaultParagraphFont"/>
    <w:uiPriority w:val="99"/>
    <w:semiHidden/>
    <w:unhideWhenUsed/>
    <w:rsid w:val="009F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heABA.org" TargetMode="External"/><Relationship Id="rId4" Type="http://schemas.openxmlformats.org/officeDocument/2006/relationships/numbering" Target="numbering.xml"/><Relationship Id="rId9" Type="http://schemas.openxmlformats.org/officeDocument/2006/relationships/hyperlink" Target="https://elearning.asam.org/certifications-and-moc-explor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59AFA884F3A4A98B04644A6D50D8B" ma:contentTypeVersion="15" ma:contentTypeDescription="Create a new document." ma:contentTypeScope="" ma:versionID="217416fa193e0fe4c9e45b61e45062dd">
  <xsd:schema xmlns:xsd="http://www.w3.org/2001/XMLSchema" xmlns:xs="http://www.w3.org/2001/XMLSchema" xmlns:p="http://schemas.microsoft.com/office/2006/metadata/properties" xmlns:ns2="096478da-36f8-47f0-ac01-92ccb63c7752" xmlns:ns3="c4e42cf3-3c08-4cde-a321-0dd1539fe695" targetNamespace="http://schemas.microsoft.com/office/2006/metadata/properties" ma:root="true" ma:fieldsID="40037d369035cbb00a799c570118d114" ns2:_="" ns3:_="">
    <xsd:import namespace="096478da-36f8-47f0-ac01-92ccb63c7752"/>
    <xsd:import namespace="c4e42cf3-3c08-4cde-a321-0dd1539fe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478da-36f8-47f0-ac01-92ccb63c7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7e77d1-e117-4c20-93d6-d0ab192a12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e42cf3-3c08-4cde-a321-0dd1539fe6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723d29-e00f-412d-b2f1-6dca4d4b6620}" ma:internalName="TaxCatchAll" ma:showField="CatchAllData" ma:web="c4e42cf3-3c08-4cde-a321-0dd1539fe6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e42cf3-3c08-4cde-a321-0dd1539fe695" xsi:nil="true"/>
    <lcf76f155ced4ddcb4097134ff3c332f xmlns="096478da-36f8-47f0-ac01-92ccb63c7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BABD2-EFA0-4882-A9C2-3F33E02DD47E}">
  <ds:schemaRefs>
    <ds:schemaRef ds:uri="http://schemas.microsoft.com/sharepoint/v3/contenttype/forms"/>
  </ds:schemaRefs>
</ds:datastoreItem>
</file>

<file path=customXml/itemProps2.xml><?xml version="1.0" encoding="utf-8"?>
<ds:datastoreItem xmlns:ds="http://schemas.openxmlformats.org/officeDocument/2006/customXml" ds:itemID="{0E07A604-FA78-47B5-846A-5E13EC1EC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478da-36f8-47f0-ac01-92ccb63c7752"/>
    <ds:schemaRef ds:uri="c4e42cf3-3c08-4cde-a321-0dd1539fe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A09F9-39B1-4B0A-A31A-DBBC42D1C50C}">
  <ds:schemaRefs>
    <ds:schemaRef ds:uri="http://schemas.microsoft.com/office/2006/metadata/properties"/>
    <ds:schemaRef ds:uri="http://schemas.microsoft.com/office/infopath/2007/PartnerControls"/>
    <ds:schemaRef ds:uri="c4e42cf3-3c08-4cde-a321-0dd1539fe695"/>
    <ds:schemaRef ds:uri="096478da-36f8-47f0-ac01-92ccb63c77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Monae Jackson</dc:creator>
  <cp:keywords/>
  <dc:description/>
  <cp:lastModifiedBy>Caitlyn Keenan</cp:lastModifiedBy>
  <cp:revision>5</cp:revision>
  <dcterms:created xsi:type="dcterms:W3CDTF">2024-06-18T22:25:00Z</dcterms:created>
  <dcterms:modified xsi:type="dcterms:W3CDTF">2024-06-18T22:29:00Z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0x010100A0759AFA884F3A4A98B04644A6D50D8B</vt:lpwstr>
  </property>
  <property fmtid="{D5CDD505-2E9C-101B-9397-08002B2CF9AE}" pid="3" name="Order">
    <vt:r8>261400</vt:r8>
  </property>
  <property fmtid="{D5CDD505-2E9C-101B-9397-08002B2CF9AE}" pid="4" name="MediaServiceImageTags">
    <vt:lpwstr/>
  </property>
</Properties>
</file>