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EB8C2" w14:textId="34F2DC6B" w:rsidR="008646AA" w:rsidRPr="00606186" w:rsidRDefault="008646AA" w:rsidP="008646AA">
      <w:pPr>
        <w:spacing w:before="161" w:after="150" w:line="240" w:lineRule="auto"/>
        <w:outlineLvl w:val="3"/>
        <w:rPr>
          <w:rFonts w:ascii="Lato" w:eastAsia="Times New Roman" w:hAnsi="Lato" w:cs="Times New Roman"/>
          <w:b/>
          <w:bCs/>
          <w:color w:val="363636"/>
          <w:sz w:val="34"/>
          <w:szCs w:val="34"/>
        </w:rPr>
      </w:pPr>
      <w:r w:rsidRPr="00606186">
        <w:rPr>
          <w:rFonts w:ascii="Lato" w:eastAsia="Times New Roman" w:hAnsi="Lato" w:cs="Times New Roman"/>
          <w:b/>
          <w:bCs/>
          <w:color w:val="363636"/>
          <w:sz w:val="34"/>
          <w:szCs w:val="34"/>
        </w:rPr>
        <w:t>Accreditation &amp; Credit Designation Statements</w:t>
      </w:r>
    </w:p>
    <w:p w14:paraId="2BB2B6AE" w14:textId="1CDDF0A6" w:rsidR="008646AA" w:rsidRPr="004C2CCE" w:rsidRDefault="008646AA" w:rsidP="008646AA">
      <w:pPr>
        <w:spacing w:after="0" w:line="240" w:lineRule="auto"/>
        <w:rPr>
          <w:rFonts w:ascii="Times New Roman" w:eastAsia="Times New Roman" w:hAnsi="Times New Roman" w:cs="Times New Roman"/>
          <w:sz w:val="24"/>
          <w:szCs w:val="24"/>
        </w:rPr>
      </w:pPr>
    </w:p>
    <w:p w14:paraId="021700A4" w14:textId="63FEB828" w:rsidR="008646AA" w:rsidRPr="004C2CCE" w:rsidRDefault="00035C78" w:rsidP="008646AA">
      <w:pPr>
        <w:spacing w:after="150" w:line="240" w:lineRule="auto"/>
        <w:rPr>
          <w:rFonts w:ascii="Lato" w:eastAsia="Times New Roman" w:hAnsi="Lato" w:cs="Times New Roman"/>
          <w:color w:val="363636"/>
          <w:sz w:val="24"/>
          <w:szCs w:val="24"/>
        </w:rPr>
      </w:pPr>
      <w:r>
        <w:rPr>
          <w:rFonts w:ascii="Lato" w:eastAsia="Times New Roman" w:hAnsi="Lato" w:cs="Times New Roman"/>
          <w:noProof/>
          <w:color w:val="363636"/>
          <w:sz w:val="24"/>
          <w:szCs w:val="24"/>
        </w:rPr>
        <w:drawing>
          <wp:anchor distT="0" distB="0" distL="114300" distR="114300" simplePos="0" relativeHeight="251659264" behindDoc="0" locked="0" layoutInCell="1" allowOverlap="1" wp14:anchorId="0FA3538C" wp14:editId="3F291137">
            <wp:simplePos x="0" y="0"/>
            <wp:positionH relativeFrom="column">
              <wp:posOffset>5375910</wp:posOffset>
            </wp:positionH>
            <wp:positionV relativeFrom="paragraph">
              <wp:posOffset>106045</wp:posOffset>
            </wp:positionV>
            <wp:extent cx="1663065" cy="1143000"/>
            <wp:effectExtent l="0" t="0" r="0" b="0"/>
            <wp:wrapSquare wrapText="bothSides"/>
            <wp:docPr id="751922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6AA">
        <w:rPr>
          <w:rFonts w:ascii="Lato" w:eastAsia="Times New Roman" w:hAnsi="Lato" w:cs="Times New Roman"/>
          <w:b/>
          <w:bCs/>
          <w:color w:val="363636"/>
          <w:sz w:val="24"/>
          <w:szCs w:val="24"/>
        </w:rPr>
        <w:t>Joint</w:t>
      </w:r>
      <w:r w:rsidR="008646AA" w:rsidRPr="004C2CCE">
        <w:rPr>
          <w:rFonts w:ascii="Lato" w:eastAsia="Times New Roman" w:hAnsi="Lato" w:cs="Times New Roman"/>
          <w:b/>
          <w:bCs/>
          <w:color w:val="363636"/>
          <w:sz w:val="24"/>
          <w:szCs w:val="24"/>
        </w:rPr>
        <w:t xml:space="preserve"> Accreditation Statement</w:t>
      </w:r>
      <w:r w:rsidR="008646AA" w:rsidRPr="004C2CCE">
        <w:rPr>
          <w:rFonts w:ascii="Lato" w:eastAsia="Times New Roman" w:hAnsi="Lato" w:cs="Times New Roman"/>
          <w:b/>
          <w:bCs/>
          <w:color w:val="363636"/>
          <w:sz w:val="24"/>
          <w:szCs w:val="24"/>
        </w:rPr>
        <w:br/>
      </w:r>
      <w:r w:rsidR="008646AA" w:rsidRPr="00AC7EBC">
        <w:rPr>
          <w:rFonts w:ascii="Lato" w:eastAsia="Times New Roman" w:hAnsi="Lato" w:cs="Times New Roman"/>
          <w:color w:val="363636"/>
          <w:sz w:val="24"/>
          <w:szCs w:val="24"/>
        </w:rPr>
        <w:t>In support of improving patient care, the American Society of Addiction Medicine is jointly accredited by the Accreditation Council for Continuing Medical Education (ACCME), the Accreditation Council for Pharmacy Education (ACPE), and the American Nurses Credentialing Center (ANCC), to provide continuing education for the healthcare team.</w:t>
      </w:r>
    </w:p>
    <w:p w14:paraId="4780355F" w14:textId="3522AFD6" w:rsidR="008646AA" w:rsidRDefault="008646AA" w:rsidP="008646AA">
      <w:pPr>
        <w:spacing w:after="150" w:line="240" w:lineRule="auto"/>
        <w:rPr>
          <w:rFonts w:ascii="Lato" w:eastAsia="Times New Roman" w:hAnsi="Lato" w:cs="Times New Roman"/>
          <w:color w:val="363636"/>
          <w:sz w:val="24"/>
          <w:szCs w:val="24"/>
        </w:rPr>
      </w:pPr>
      <w:r>
        <w:rPr>
          <w:rFonts w:ascii="Lato" w:eastAsia="Times New Roman" w:hAnsi="Lato" w:cs="Times New Roman"/>
          <w:b/>
          <w:bCs/>
          <w:color w:val="363636"/>
          <w:sz w:val="24"/>
          <w:szCs w:val="24"/>
        </w:rPr>
        <w:t>Physicians</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 xml:space="preserve">The American Society of Addiction Medicine designates this </w:t>
      </w:r>
      <w:r w:rsidR="00082388">
        <w:rPr>
          <w:rFonts w:ascii="Lato" w:eastAsia="Times New Roman" w:hAnsi="Lato" w:cs="Times New Roman"/>
          <w:color w:val="363636"/>
          <w:sz w:val="24"/>
          <w:szCs w:val="24"/>
        </w:rPr>
        <w:t>Journal Article CME/CE Activity</w:t>
      </w:r>
      <w:r w:rsidRPr="004C2CCE">
        <w:rPr>
          <w:rFonts w:ascii="Lato" w:eastAsia="Times New Roman" w:hAnsi="Lato" w:cs="Times New Roman"/>
          <w:color w:val="363636"/>
          <w:sz w:val="24"/>
          <w:szCs w:val="24"/>
        </w:rPr>
        <w:t xml:space="preserve"> for a maximum of </w:t>
      </w:r>
      <w:r w:rsidR="00082388">
        <w:rPr>
          <w:rFonts w:ascii="Lato" w:eastAsia="Times New Roman" w:hAnsi="Lato" w:cs="Times New Roman"/>
          <w:b/>
          <w:bCs/>
          <w:color w:val="363636"/>
          <w:sz w:val="24"/>
          <w:szCs w:val="24"/>
        </w:rPr>
        <w:t>1</w:t>
      </w:r>
      <w:r w:rsidR="00BC5568" w:rsidRPr="008646AA">
        <w:rPr>
          <w:rFonts w:ascii="Lato" w:hAnsi="Lato"/>
          <w:sz w:val="24"/>
          <w:szCs w:val="24"/>
        </w:rPr>
        <w:t xml:space="preserve"> </w:t>
      </w:r>
      <w:r w:rsidRPr="00B83394">
        <w:rPr>
          <w:rFonts w:ascii="Lato" w:eastAsia="Times New Roman" w:hAnsi="Lato" w:cs="Times New Roman"/>
          <w:i/>
          <w:iCs/>
          <w:color w:val="363636"/>
          <w:sz w:val="24"/>
          <w:szCs w:val="24"/>
        </w:rPr>
        <w:t>AMA PRA Category 1 Credits™</w:t>
      </w:r>
      <w:r w:rsidRPr="00B83394">
        <w:rPr>
          <w:rFonts w:ascii="Lato" w:eastAsia="Times New Roman" w:hAnsi="Lato" w:cs="Times New Roman"/>
          <w:color w:val="363636"/>
          <w:sz w:val="24"/>
          <w:szCs w:val="24"/>
        </w:rPr>
        <w:t>.</w:t>
      </w:r>
      <w:r w:rsidRPr="004C2CCE">
        <w:rPr>
          <w:rFonts w:ascii="Lato" w:eastAsia="Times New Roman" w:hAnsi="Lato" w:cs="Times New Roman"/>
          <w:color w:val="363636"/>
          <w:sz w:val="24"/>
          <w:szCs w:val="24"/>
        </w:rPr>
        <w:t> Physicians should claim only the credit commensurate with the extent of their participation in the activity.</w:t>
      </w:r>
    </w:p>
    <w:p w14:paraId="4E8A25AC" w14:textId="09912E22" w:rsidR="008646AA" w:rsidRPr="008646AA" w:rsidRDefault="008646AA" w:rsidP="008646AA">
      <w:pPr>
        <w:rPr>
          <w:rFonts w:ascii="Lato" w:hAnsi="Lato"/>
          <w:sz w:val="24"/>
          <w:szCs w:val="24"/>
        </w:rPr>
      </w:pPr>
      <w:r w:rsidRPr="008646AA">
        <w:rPr>
          <w:rFonts w:ascii="Lato" w:hAnsi="Lato"/>
          <w:b/>
          <w:bCs/>
          <w:sz w:val="24"/>
          <w:szCs w:val="24"/>
        </w:rPr>
        <w:t>Nurses</w:t>
      </w:r>
      <w:r w:rsidR="00346A7E">
        <w:rPr>
          <w:rFonts w:ascii="Lato" w:hAnsi="Lato"/>
          <w:b/>
          <w:bCs/>
          <w:sz w:val="24"/>
          <w:szCs w:val="24"/>
        </w:rPr>
        <w:br/>
      </w:r>
      <w:r w:rsidRPr="008646AA">
        <w:rPr>
          <w:rFonts w:ascii="Lato" w:hAnsi="Lato"/>
          <w:sz w:val="24"/>
          <w:szCs w:val="24"/>
        </w:rPr>
        <w:t xml:space="preserve">This activity awards </w:t>
      </w:r>
      <w:r w:rsidR="00082388">
        <w:rPr>
          <w:rFonts w:ascii="Lato" w:hAnsi="Lato"/>
          <w:b/>
          <w:bCs/>
          <w:sz w:val="24"/>
          <w:szCs w:val="24"/>
        </w:rPr>
        <w:t>1</w:t>
      </w:r>
      <w:r w:rsidRPr="008646AA">
        <w:rPr>
          <w:rFonts w:ascii="Lato" w:hAnsi="Lato"/>
          <w:sz w:val="24"/>
          <w:szCs w:val="24"/>
        </w:rPr>
        <w:t xml:space="preserve"> Nursing contact hours.</w:t>
      </w:r>
    </w:p>
    <w:p w14:paraId="24D41752" w14:textId="77777777" w:rsidR="008646AA" w:rsidRPr="008646AA" w:rsidRDefault="008646AA" w:rsidP="008646AA">
      <w:pPr>
        <w:spacing w:after="0" w:line="240" w:lineRule="auto"/>
        <w:rPr>
          <w:rFonts w:ascii="Lato" w:eastAsia="Times New Roman" w:hAnsi="Lato" w:cs="Times New Roman"/>
          <w:color w:val="363636"/>
          <w:sz w:val="24"/>
          <w:szCs w:val="24"/>
        </w:rPr>
      </w:pPr>
      <w:r w:rsidRPr="008646AA">
        <w:rPr>
          <w:rFonts w:ascii="Lato" w:eastAsia="Times New Roman" w:hAnsi="Lato" w:cs="Times New Roman"/>
          <w:b/>
          <w:bCs/>
          <w:color w:val="363636"/>
          <w:sz w:val="24"/>
          <w:szCs w:val="24"/>
        </w:rPr>
        <w:t>Pharmacy</w:t>
      </w:r>
    </w:p>
    <w:p w14:paraId="778F647A" w14:textId="196F4B26" w:rsidR="008646AA" w:rsidRPr="008646AA" w:rsidRDefault="008646AA" w:rsidP="008646AA">
      <w:pPr>
        <w:spacing w:after="150" w:line="240" w:lineRule="auto"/>
        <w:rPr>
          <w:rFonts w:ascii="Lato" w:eastAsia="Times New Roman" w:hAnsi="Lato" w:cs="Times New Roman"/>
          <w:color w:val="363636"/>
          <w:sz w:val="24"/>
          <w:szCs w:val="24"/>
        </w:rPr>
      </w:pPr>
      <w:r w:rsidRPr="008646AA">
        <w:rPr>
          <w:rFonts w:ascii="Lato" w:eastAsia="Times New Roman" w:hAnsi="Lato" w:cs="Times New Roman"/>
          <w:color w:val="363636"/>
          <w:sz w:val="24"/>
          <w:szCs w:val="24"/>
        </w:rPr>
        <w:t xml:space="preserve">This activity will offer </w:t>
      </w:r>
      <w:r w:rsidR="00082388">
        <w:rPr>
          <w:rFonts w:ascii="Lato" w:hAnsi="Lato"/>
          <w:b/>
          <w:bCs/>
          <w:sz w:val="24"/>
          <w:szCs w:val="24"/>
        </w:rPr>
        <w:t>1</w:t>
      </w:r>
      <w:r w:rsidR="00BC5568" w:rsidRPr="008646AA">
        <w:rPr>
          <w:rFonts w:ascii="Lato" w:hAnsi="Lato"/>
          <w:sz w:val="24"/>
          <w:szCs w:val="24"/>
        </w:rPr>
        <w:t xml:space="preserve"> </w:t>
      </w:r>
      <w:r w:rsidRPr="008646AA">
        <w:rPr>
          <w:rFonts w:ascii="Lato" w:eastAsia="Times New Roman" w:hAnsi="Lato" w:cs="Times New Roman"/>
          <w:color w:val="363636"/>
          <w:sz w:val="24"/>
          <w:szCs w:val="24"/>
        </w:rPr>
        <w:t xml:space="preserve">pharmacy contact </w:t>
      </w:r>
      <w:proofErr w:type="gramStart"/>
      <w:r w:rsidRPr="008646AA">
        <w:rPr>
          <w:rFonts w:ascii="Lato" w:eastAsia="Times New Roman" w:hAnsi="Lato" w:cs="Times New Roman"/>
          <w:color w:val="363636"/>
          <w:sz w:val="24"/>
          <w:szCs w:val="24"/>
        </w:rPr>
        <w:t>hours</w:t>
      </w:r>
      <w:proofErr w:type="gramEnd"/>
      <w:r w:rsidRPr="008646AA">
        <w:rPr>
          <w:rFonts w:ascii="Lato" w:eastAsia="Times New Roman" w:hAnsi="Lato" w:cs="Times New Roman"/>
          <w:color w:val="363636"/>
          <w:sz w:val="24"/>
          <w:szCs w:val="24"/>
        </w:rPr>
        <w:t xml:space="preserve"> </w:t>
      </w:r>
      <w:r w:rsidR="00346A7E">
        <w:rPr>
          <w:rFonts w:ascii="Lato" w:eastAsia="Times New Roman" w:hAnsi="Lato" w:cs="Times New Roman"/>
          <w:color w:val="363636"/>
          <w:sz w:val="24"/>
          <w:szCs w:val="24"/>
        </w:rPr>
        <w:t>(</w:t>
      </w:r>
      <w:r w:rsidR="00082388">
        <w:rPr>
          <w:rFonts w:ascii="Lato" w:eastAsia="Times New Roman" w:hAnsi="Lato" w:cs="Times New Roman"/>
          <w:color w:val="363636"/>
          <w:sz w:val="24"/>
          <w:szCs w:val="24"/>
        </w:rPr>
        <w:t>1</w:t>
      </w:r>
      <w:r w:rsidR="00BC5568" w:rsidRPr="008646AA">
        <w:rPr>
          <w:rFonts w:ascii="Lato" w:hAnsi="Lato"/>
          <w:sz w:val="24"/>
          <w:szCs w:val="24"/>
        </w:rPr>
        <w:t xml:space="preserve"> </w:t>
      </w:r>
      <w:r w:rsidRPr="00DC6D8F">
        <w:rPr>
          <w:rFonts w:ascii="Lato" w:eastAsia="Times New Roman" w:hAnsi="Lato" w:cs="Times New Roman"/>
          <w:color w:val="363636"/>
          <w:sz w:val="24"/>
          <w:szCs w:val="24"/>
        </w:rPr>
        <w:t>CEUs)</w:t>
      </w:r>
      <w:r w:rsidRPr="008646AA">
        <w:rPr>
          <w:rFonts w:ascii="Lato" w:eastAsia="Times New Roman" w:hAnsi="Lato" w:cs="Times New Roman"/>
          <w:color w:val="363636"/>
          <w:sz w:val="24"/>
          <w:szCs w:val="24"/>
        </w:rPr>
        <w:t xml:space="preserve">. Pharmacists will be asked to provide identifying information (e-Profile ID and DOB in MMDD format) </w:t>
      </w:r>
      <w:proofErr w:type="gramStart"/>
      <w:r w:rsidRPr="008646AA">
        <w:rPr>
          <w:rFonts w:ascii="Lato" w:eastAsia="Times New Roman" w:hAnsi="Lato" w:cs="Times New Roman"/>
          <w:color w:val="363636"/>
          <w:sz w:val="24"/>
          <w:szCs w:val="24"/>
        </w:rPr>
        <w:t>in order to</w:t>
      </w:r>
      <w:proofErr w:type="gramEnd"/>
      <w:r w:rsidRPr="008646AA">
        <w:rPr>
          <w:rFonts w:ascii="Lato" w:eastAsia="Times New Roman" w:hAnsi="Lato" w:cs="Times New Roman"/>
          <w:color w:val="363636"/>
          <w:sz w:val="24"/>
          <w:szCs w:val="24"/>
        </w:rPr>
        <w:t xml:space="preserve"> receive credit and allow reporting to CPE Monitor. (</w:t>
      </w:r>
      <w:r w:rsidRPr="008646AA">
        <w:rPr>
          <w:rFonts w:ascii="Lato" w:eastAsia="Times New Roman" w:hAnsi="Lato" w:cs="Times New Roman"/>
          <w:b/>
          <w:bCs/>
          <w:color w:val="363636"/>
          <w:sz w:val="24"/>
          <w:szCs w:val="24"/>
        </w:rPr>
        <w:t xml:space="preserve">UAN: </w:t>
      </w:r>
      <w:r w:rsidR="00994CF4" w:rsidRPr="00A56CBE">
        <w:rPr>
          <w:rFonts w:ascii="Lato" w:eastAsia="Times New Roman" w:hAnsi="Lato" w:cs="Times New Roman"/>
          <w:b/>
          <w:bCs/>
          <w:color w:val="363636"/>
          <w:sz w:val="24"/>
          <w:szCs w:val="24"/>
        </w:rPr>
        <w:t>JA0000141-0000-24-06</w:t>
      </w:r>
      <w:r w:rsidR="000504B5">
        <w:rPr>
          <w:rFonts w:ascii="Lato" w:eastAsia="Times New Roman" w:hAnsi="Lato" w:cs="Times New Roman"/>
          <w:b/>
          <w:bCs/>
          <w:color w:val="363636"/>
          <w:sz w:val="24"/>
          <w:szCs w:val="24"/>
        </w:rPr>
        <w:t>4</w:t>
      </w:r>
      <w:r w:rsidR="00994CF4" w:rsidRPr="00A56CBE">
        <w:rPr>
          <w:rFonts w:ascii="Lato" w:eastAsia="Times New Roman" w:hAnsi="Lato" w:cs="Times New Roman"/>
          <w:b/>
          <w:bCs/>
          <w:color w:val="363636"/>
          <w:sz w:val="24"/>
          <w:szCs w:val="24"/>
        </w:rPr>
        <w:t>-H</w:t>
      </w:r>
      <w:r w:rsidR="000504B5">
        <w:rPr>
          <w:rFonts w:ascii="Lato" w:eastAsia="Times New Roman" w:hAnsi="Lato" w:cs="Times New Roman"/>
          <w:b/>
          <w:bCs/>
          <w:color w:val="363636"/>
          <w:sz w:val="24"/>
          <w:szCs w:val="24"/>
        </w:rPr>
        <w:t>99</w:t>
      </w:r>
      <w:r w:rsidR="00994CF4" w:rsidRPr="00A56CBE">
        <w:rPr>
          <w:rFonts w:ascii="Lato" w:eastAsia="Times New Roman" w:hAnsi="Lato" w:cs="Times New Roman"/>
          <w:b/>
          <w:bCs/>
          <w:color w:val="363636"/>
          <w:sz w:val="24"/>
          <w:szCs w:val="24"/>
        </w:rPr>
        <w:t>-</w:t>
      </w:r>
      <w:r w:rsidR="00BD62EA" w:rsidRPr="00A56CBE">
        <w:rPr>
          <w:rFonts w:ascii="Lato" w:eastAsia="Times New Roman" w:hAnsi="Lato" w:cs="Times New Roman"/>
          <w:b/>
          <w:bCs/>
          <w:color w:val="363636"/>
          <w:sz w:val="24"/>
          <w:szCs w:val="24"/>
        </w:rPr>
        <w:t>P</w:t>
      </w:r>
      <w:r w:rsidRPr="008646AA">
        <w:rPr>
          <w:rFonts w:ascii="Lato" w:eastAsia="Times New Roman" w:hAnsi="Lato" w:cs="Times New Roman"/>
          <w:color w:val="363636"/>
          <w:sz w:val="24"/>
          <w:szCs w:val="24"/>
        </w:rPr>
        <w:t>)</w:t>
      </w:r>
    </w:p>
    <w:p w14:paraId="1A0E4541" w14:textId="4F99A713" w:rsidR="008646AA" w:rsidRPr="008646AA" w:rsidRDefault="00035C78" w:rsidP="008646AA">
      <w:pPr>
        <w:spacing w:after="0" w:line="240" w:lineRule="auto"/>
        <w:rPr>
          <w:rFonts w:ascii="Lato" w:eastAsia="Times New Roman" w:hAnsi="Lato" w:cs="Times New Roman"/>
          <w:color w:val="363636"/>
          <w:sz w:val="24"/>
          <w:szCs w:val="24"/>
        </w:rPr>
      </w:pPr>
      <w:r>
        <w:rPr>
          <w:rFonts w:ascii="Lato" w:eastAsia="Times New Roman" w:hAnsi="Lato" w:cs="Times New Roman"/>
          <w:noProof/>
          <w:color w:val="363636"/>
          <w:sz w:val="24"/>
          <w:szCs w:val="24"/>
        </w:rPr>
        <w:drawing>
          <wp:anchor distT="0" distB="0" distL="114300" distR="114300" simplePos="0" relativeHeight="251658240" behindDoc="0" locked="0" layoutInCell="1" allowOverlap="1" wp14:anchorId="5971C0C4" wp14:editId="62ED281F">
            <wp:simplePos x="0" y="0"/>
            <wp:positionH relativeFrom="column">
              <wp:posOffset>-252412</wp:posOffset>
            </wp:positionH>
            <wp:positionV relativeFrom="paragraph">
              <wp:posOffset>23178</wp:posOffset>
            </wp:positionV>
            <wp:extent cx="662305" cy="640080"/>
            <wp:effectExtent l="0" t="0" r="4445" b="7620"/>
            <wp:wrapSquare wrapText="bothSides"/>
            <wp:docPr id="178578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40080"/>
                    </a:xfrm>
                    <a:prstGeom prst="rect">
                      <a:avLst/>
                    </a:prstGeom>
                    <a:noFill/>
                    <a:ln>
                      <a:noFill/>
                    </a:ln>
                  </pic:spPr>
                </pic:pic>
              </a:graphicData>
            </a:graphic>
          </wp:anchor>
        </w:drawing>
      </w:r>
      <w:r w:rsidR="008646AA" w:rsidRPr="008646AA">
        <w:rPr>
          <w:rFonts w:ascii="Lato" w:eastAsia="Times New Roman" w:hAnsi="Lato" w:cs="Times New Roman"/>
          <w:b/>
          <w:bCs/>
          <w:color w:val="363636"/>
          <w:sz w:val="24"/>
          <w:szCs w:val="24"/>
        </w:rPr>
        <w:t xml:space="preserve">PAs </w:t>
      </w:r>
    </w:p>
    <w:p w14:paraId="308385E9" w14:textId="26A44E2B" w:rsidR="008646AA" w:rsidRDefault="008646AA" w:rsidP="008646AA">
      <w:pPr>
        <w:spacing w:after="0" w:line="240" w:lineRule="auto"/>
        <w:rPr>
          <w:rFonts w:ascii="Lato" w:eastAsia="Times New Roman" w:hAnsi="Lato" w:cs="Times New Roman"/>
          <w:color w:val="363636"/>
          <w:sz w:val="24"/>
          <w:szCs w:val="24"/>
        </w:rPr>
      </w:pPr>
      <w:r w:rsidRPr="008646AA">
        <w:rPr>
          <w:rFonts w:ascii="Lato" w:eastAsia="Times New Roman" w:hAnsi="Lato" w:cs="Times New Roman"/>
          <w:color w:val="363636"/>
          <w:sz w:val="24"/>
          <w:szCs w:val="24"/>
        </w:rPr>
        <w:t xml:space="preserve">ASAM has been authorized by the American Academy of PAs (AAPA) to award </w:t>
      </w:r>
      <w:r w:rsidRPr="00ED0320">
        <w:rPr>
          <w:rFonts w:ascii="Lato" w:eastAsia="Times New Roman" w:hAnsi="Lato" w:cs="Times New Roman"/>
          <w:b/>
          <w:bCs/>
          <w:color w:val="363636"/>
          <w:sz w:val="24"/>
          <w:szCs w:val="24"/>
        </w:rPr>
        <w:t>AAPA Category 1 CME</w:t>
      </w:r>
      <w:r w:rsidRPr="008646AA">
        <w:rPr>
          <w:rFonts w:ascii="Lato" w:eastAsia="Times New Roman" w:hAnsi="Lato" w:cs="Times New Roman"/>
          <w:color w:val="363636"/>
          <w:sz w:val="24"/>
          <w:szCs w:val="24"/>
        </w:rPr>
        <w:t xml:space="preserve"> credit for activities planned in accordance with AAPA CME Criteria. This activity is designated for </w:t>
      </w:r>
      <w:r w:rsidR="00082388">
        <w:rPr>
          <w:rFonts w:ascii="Lato" w:hAnsi="Lato"/>
          <w:b/>
          <w:bCs/>
          <w:sz w:val="24"/>
          <w:szCs w:val="24"/>
        </w:rPr>
        <w:t>1</w:t>
      </w:r>
      <w:r w:rsidR="00BC5568" w:rsidRPr="008646AA">
        <w:rPr>
          <w:rFonts w:ascii="Lato" w:hAnsi="Lato"/>
          <w:sz w:val="24"/>
          <w:szCs w:val="24"/>
        </w:rPr>
        <w:t xml:space="preserve"> </w:t>
      </w:r>
      <w:r w:rsidRPr="00DC6D8F">
        <w:rPr>
          <w:rFonts w:ascii="Lato" w:eastAsia="Times New Roman" w:hAnsi="Lato" w:cs="Times New Roman"/>
          <w:b/>
          <w:bCs/>
          <w:color w:val="363636"/>
          <w:sz w:val="24"/>
          <w:szCs w:val="24"/>
        </w:rPr>
        <w:t>AAPA Category 1 CME</w:t>
      </w:r>
      <w:r w:rsidRPr="008646AA">
        <w:rPr>
          <w:rFonts w:ascii="Lato" w:eastAsia="Times New Roman" w:hAnsi="Lato" w:cs="Times New Roman"/>
          <w:color w:val="363636"/>
          <w:sz w:val="24"/>
          <w:szCs w:val="24"/>
        </w:rPr>
        <w:t xml:space="preserve"> credits. Approval is valid </w:t>
      </w:r>
      <w:r w:rsidRPr="00082388">
        <w:rPr>
          <w:rFonts w:ascii="Lato" w:eastAsia="Times New Roman" w:hAnsi="Lato" w:cs="Times New Roman"/>
          <w:color w:val="363636"/>
          <w:sz w:val="24"/>
          <w:szCs w:val="24"/>
        </w:rPr>
        <w:t xml:space="preserve">until </w:t>
      </w:r>
      <w:r w:rsidR="00082388" w:rsidRPr="004D16C4">
        <w:rPr>
          <w:rFonts w:ascii="Lato" w:eastAsia="Times New Roman" w:hAnsi="Lato" w:cs="Times New Roman"/>
          <w:color w:val="363636"/>
          <w:sz w:val="24"/>
          <w:szCs w:val="24"/>
        </w:rPr>
        <w:t>0</w:t>
      </w:r>
      <w:r w:rsidR="004D16C4" w:rsidRPr="004D16C4">
        <w:rPr>
          <w:rFonts w:ascii="Lato" w:eastAsia="Times New Roman" w:hAnsi="Lato" w:cs="Times New Roman"/>
          <w:color w:val="363636"/>
          <w:sz w:val="24"/>
          <w:szCs w:val="24"/>
        </w:rPr>
        <w:t>6</w:t>
      </w:r>
      <w:r w:rsidR="00346A7E" w:rsidRPr="004D16C4">
        <w:rPr>
          <w:rFonts w:ascii="Lato" w:eastAsia="Times New Roman" w:hAnsi="Lato" w:cs="Times New Roman"/>
          <w:color w:val="363636"/>
          <w:sz w:val="24"/>
          <w:szCs w:val="24"/>
        </w:rPr>
        <w:t>/</w:t>
      </w:r>
      <w:r w:rsidR="00082388" w:rsidRPr="004D16C4">
        <w:rPr>
          <w:rFonts w:ascii="Lato" w:eastAsia="Times New Roman" w:hAnsi="Lato" w:cs="Times New Roman"/>
          <w:color w:val="363636"/>
          <w:sz w:val="24"/>
          <w:szCs w:val="24"/>
        </w:rPr>
        <w:t>0</w:t>
      </w:r>
      <w:r w:rsidR="004D16C4" w:rsidRPr="004D16C4">
        <w:rPr>
          <w:rFonts w:ascii="Lato" w:eastAsia="Times New Roman" w:hAnsi="Lato" w:cs="Times New Roman"/>
          <w:color w:val="363636"/>
          <w:sz w:val="24"/>
          <w:szCs w:val="24"/>
        </w:rPr>
        <w:t>4</w:t>
      </w:r>
      <w:r w:rsidR="00346A7E" w:rsidRPr="004D16C4">
        <w:rPr>
          <w:rFonts w:ascii="Lato" w:eastAsia="Times New Roman" w:hAnsi="Lato" w:cs="Times New Roman"/>
          <w:color w:val="363636"/>
          <w:sz w:val="24"/>
          <w:szCs w:val="24"/>
        </w:rPr>
        <w:t>/2027</w:t>
      </w:r>
      <w:r w:rsidRPr="004D16C4">
        <w:rPr>
          <w:rFonts w:ascii="Lato" w:eastAsia="Times New Roman" w:hAnsi="Lato" w:cs="Times New Roman"/>
          <w:color w:val="363636"/>
          <w:sz w:val="24"/>
          <w:szCs w:val="24"/>
        </w:rPr>
        <w:t xml:space="preserve">. </w:t>
      </w:r>
      <w:r w:rsidRPr="000509A4">
        <w:rPr>
          <w:rFonts w:ascii="Lato" w:eastAsia="Times New Roman" w:hAnsi="Lato" w:cs="Times New Roman"/>
          <w:color w:val="363636"/>
          <w:sz w:val="24"/>
          <w:szCs w:val="24"/>
        </w:rPr>
        <w:t>PAs should only</w:t>
      </w:r>
      <w:r w:rsidRPr="008646AA">
        <w:rPr>
          <w:rFonts w:ascii="Lato" w:eastAsia="Times New Roman" w:hAnsi="Lato" w:cs="Times New Roman"/>
          <w:color w:val="363636"/>
          <w:sz w:val="24"/>
          <w:szCs w:val="24"/>
        </w:rPr>
        <w:t xml:space="preserve"> claim credit commensurate with the extent of their participation.</w:t>
      </w:r>
    </w:p>
    <w:p w14:paraId="522A5A7F" w14:textId="77777777" w:rsidR="00442F16" w:rsidRDefault="00442F16" w:rsidP="00442F16">
      <w:pPr>
        <w:spacing w:after="0" w:line="240" w:lineRule="auto"/>
        <w:rPr>
          <w:rFonts w:ascii="Lato" w:eastAsia="Times New Roman" w:hAnsi="Lato" w:cs="Times New Roman"/>
          <w:b/>
          <w:bCs/>
          <w:color w:val="363636"/>
          <w:sz w:val="24"/>
          <w:szCs w:val="24"/>
        </w:rPr>
      </w:pPr>
    </w:p>
    <w:p w14:paraId="516F979F" w14:textId="006C3498" w:rsidR="00442F16" w:rsidRPr="007819C8" w:rsidRDefault="00442F16" w:rsidP="00442F16">
      <w:pPr>
        <w:spacing w:after="0" w:line="240" w:lineRule="auto"/>
        <w:rPr>
          <w:rFonts w:ascii="Lato" w:eastAsia="Times New Roman" w:hAnsi="Lato" w:cs="Times New Roman"/>
          <w:b/>
          <w:bCs/>
          <w:color w:val="363636"/>
          <w:sz w:val="24"/>
          <w:szCs w:val="24"/>
        </w:rPr>
      </w:pPr>
      <w:r w:rsidRPr="007819C8">
        <w:rPr>
          <w:rFonts w:ascii="Lato" w:eastAsia="Times New Roman" w:hAnsi="Lato" w:cs="Times New Roman"/>
          <w:b/>
          <w:bCs/>
          <w:color w:val="363636"/>
          <w:sz w:val="24"/>
          <w:szCs w:val="24"/>
        </w:rPr>
        <w:t>Pharmacology Hours</w:t>
      </w:r>
    </w:p>
    <w:p w14:paraId="4316816A" w14:textId="22693238" w:rsidR="00442F16" w:rsidRDefault="00442F16" w:rsidP="00442F16">
      <w:pPr>
        <w:spacing w:after="0" w:line="240" w:lineRule="auto"/>
        <w:rPr>
          <w:rFonts w:ascii="Lato" w:eastAsia="Times New Roman" w:hAnsi="Lato" w:cs="Times New Roman"/>
          <w:color w:val="363636"/>
          <w:sz w:val="24"/>
          <w:szCs w:val="24"/>
        </w:rPr>
      </w:pPr>
      <w:r w:rsidRPr="007819C8">
        <w:rPr>
          <w:rFonts w:ascii="Lato" w:eastAsia="Times New Roman" w:hAnsi="Lato" w:cs="Times New Roman"/>
          <w:color w:val="363636"/>
          <w:sz w:val="24"/>
          <w:szCs w:val="24"/>
        </w:rPr>
        <w:t xml:space="preserve">This activity has </w:t>
      </w:r>
      <w:r w:rsidRPr="007819C8">
        <w:rPr>
          <w:rFonts w:ascii="Lato" w:eastAsia="Times New Roman" w:hAnsi="Lato" w:cs="Times New Roman"/>
          <w:b/>
          <w:bCs/>
          <w:color w:val="363636"/>
          <w:sz w:val="24"/>
          <w:szCs w:val="24"/>
        </w:rPr>
        <w:t>1</w:t>
      </w:r>
      <w:r w:rsidRPr="007819C8">
        <w:rPr>
          <w:rFonts w:ascii="Lato" w:eastAsia="Times New Roman" w:hAnsi="Lato" w:cs="Times New Roman"/>
          <w:b/>
          <w:bCs/>
          <w:color w:val="363636"/>
          <w:sz w:val="24"/>
          <w:szCs w:val="24"/>
        </w:rPr>
        <w:t xml:space="preserve"> </w:t>
      </w:r>
      <w:r w:rsidRPr="007819C8">
        <w:rPr>
          <w:rFonts w:ascii="Lato" w:eastAsia="Times New Roman" w:hAnsi="Lato" w:cs="Times New Roman"/>
          <w:color w:val="363636"/>
          <w:sz w:val="24"/>
          <w:szCs w:val="24"/>
        </w:rPr>
        <w:t>number of hours that satisfy the requirements for NP and PA Pharmacology Hours.</w:t>
      </w:r>
    </w:p>
    <w:p w14:paraId="27F3FB03" w14:textId="77777777" w:rsidR="00346A7E" w:rsidRDefault="00346A7E" w:rsidP="008646AA">
      <w:pPr>
        <w:spacing w:after="0" w:line="240" w:lineRule="auto"/>
        <w:rPr>
          <w:rFonts w:ascii="Lato" w:eastAsia="Times New Roman" w:hAnsi="Lato" w:cs="Times New Roman"/>
          <w:color w:val="363636"/>
          <w:sz w:val="24"/>
          <w:szCs w:val="24"/>
        </w:rPr>
      </w:pPr>
    </w:p>
    <w:p w14:paraId="292F8D89" w14:textId="5578CC3C" w:rsidR="00346A7E" w:rsidRPr="00346A7E" w:rsidRDefault="00346A7E" w:rsidP="008646AA">
      <w:pPr>
        <w:spacing w:after="0" w:line="240" w:lineRule="auto"/>
        <w:rPr>
          <w:rFonts w:ascii="Lato" w:eastAsia="Times New Roman" w:hAnsi="Lato" w:cs="Times New Roman"/>
          <w:b/>
          <w:bCs/>
          <w:color w:val="363636"/>
          <w:sz w:val="24"/>
          <w:szCs w:val="24"/>
        </w:rPr>
      </w:pPr>
      <w:r w:rsidRPr="00346A7E">
        <w:rPr>
          <w:rFonts w:ascii="Lato" w:eastAsia="Times New Roman" w:hAnsi="Lato" w:cs="Times New Roman"/>
          <w:b/>
          <w:bCs/>
          <w:color w:val="363636"/>
          <w:sz w:val="24"/>
          <w:szCs w:val="24"/>
        </w:rPr>
        <w:t>Social Workers</w:t>
      </w:r>
    </w:p>
    <w:p w14:paraId="40B5176F" w14:textId="57306203" w:rsidR="008646AA" w:rsidRDefault="00B83394" w:rsidP="008646AA">
      <w:pPr>
        <w:spacing w:after="0" w:line="240" w:lineRule="auto"/>
        <w:rPr>
          <w:rFonts w:ascii="Lato" w:eastAsia="Times New Roman" w:hAnsi="Lato" w:cs="Times New Roman"/>
          <w:color w:val="363636"/>
          <w:sz w:val="24"/>
          <w:szCs w:val="24"/>
        </w:rPr>
      </w:pPr>
      <w:r w:rsidRPr="00B83394">
        <w:rPr>
          <w:rFonts w:ascii="Lato" w:eastAsia="Times New Roman" w:hAnsi="Lato" w:cs="Times New Roman"/>
          <w:color w:val="363636"/>
          <w:sz w:val="24"/>
          <w:szCs w:val="24"/>
        </w:rPr>
        <w:t xml:space="preserve">As a Jointly Accredited Organization, </w:t>
      </w:r>
      <w:r>
        <w:rPr>
          <w:rFonts w:ascii="Lato" w:eastAsia="Times New Roman" w:hAnsi="Lato" w:cs="Times New Roman"/>
          <w:color w:val="363636"/>
          <w:sz w:val="24"/>
          <w:szCs w:val="24"/>
        </w:rPr>
        <w:t>ASAM</w:t>
      </w:r>
      <w:r w:rsidRPr="00B83394">
        <w:rPr>
          <w:rFonts w:ascii="Lato" w:eastAsia="Times New Roman" w:hAnsi="Lato" w:cs="Times New Roman"/>
          <w:color w:val="363636"/>
          <w:sz w:val="24"/>
          <w:szCs w:val="24"/>
        </w:rPr>
        <w:t xml:space="preserve"> is approved to offer social work continuing education by the Association of Social Work Boards (ASWB) Approved Continuing Education (ACE) program. Organizations, not individual courses, are approved under this program. Regulatory boards are the final authority on courses accepted for continuing education credit. Social workers completing this course receive </w:t>
      </w:r>
      <w:r w:rsidR="00082388">
        <w:rPr>
          <w:rFonts w:ascii="Lato" w:eastAsia="Times New Roman" w:hAnsi="Lato" w:cs="Times New Roman"/>
          <w:b/>
          <w:bCs/>
          <w:color w:val="363636"/>
          <w:sz w:val="24"/>
          <w:szCs w:val="24"/>
        </w:rPr>
        <w:t>1</w:t>
      </w:r>
      <w:r>
        <w:rPr>
          <w:rFonts w:ascii="Lato" w:eastAsia="Times New Roman" w:hAnsi="Lato" w:cs="Times New Roman"/>
          <w:color w:val="363636"/>
          <w:sz w:val="24"/>
          <w:szCs w:val="24"/>
        </w:rPr>
        <w:t xml:space="preserve"> general</w:t>
      </w:r>
      <w:r w:rsidRPr="00B83394">
        <w:rPr>
          <w:rFonts w:ascii="Lato" w:eastAsia="Times New Roman" w:hAnsi="Lato" w:cs="Times New Roman"/>
          <w:color w:val="363636"/>
          <w:sz w:val="24"/>
          <w:szCs w:val="24"/>
        </w:rPr>
        <w:t xml:space="preserve"> continuing education </w:t>
      </w:r>
      <w:proofErr w:type="gramStart"/>
      <w:r w:rsidRPr="00B83394">
        <w:rPr>
          <w:rFonts w:ascii="Lato" w:eastAsia="Times New Roman" w:hAnsi="Lato" w:cs="Times New Roman"/>
          <w:color w:val="363636"/>
          <w:sz w:val="24"/>
          <w:szCs w:val="24"/>
        </w:rPr>
        <w:t>credits</w:t>
      </w:r>
      <w:proofErr w:type="gramEnd"/>
      <w:r w:rsidRPr="00B83394">
        <w:rPr>
          <w:rFonts w:ascii="Lato" w:eastAsia="Times New Roman" w:hAnsi="Lato" w:cs="Times New Roman"/>
          <w:color w:val="363636"/>
          <w:sz w:val="24"/>
          <w:szCs w:val="24"/>
        </w:rPr>
        <w:t>.</w:t>
      </w:r>
    </w:p>
    <w:p w14:paraId="009DF0AE" w14:textId="77777777" w:rsidR="00035C78" w:rsidRDefault="00035C78" w:rsidP="008646AA">
      <w:pPr>
        <w:spacing w:after="0" w:line="240" w:lineRule="auto"/>
        <w:rPr>
          <w:rFonts w:ascii="Lato" w:eastAsia="Times New Roman" w:hAnsi="Lato" w:cs="Times New Roman"/>
          <w:color w:val="363636"/>
          <w:sz w:val="24"/>
          <w:szCs w:val="24"/>
        </w:rPr>
      </w:pPr>
    </w:p>
    <w:p w14:paraId="5F6B1444" w14:textId="6194B36B" w:rsidR="00035C78" w:rsidRPr="00035C78" w:rsidRDefault="00035C78" w:rsidP="008646AA">
      <w:pPr>
        <w:spacing w:after="0" w:line="240" w:lineRule="auto"/>
        <w:rPr>
          <w:rFonts w:ascii="Lato" w:eastAsia="Times New Roman" w:hAnsi="Lato" w:cs="Times New Roman"/>
          <w:b/>
          <w:bCs/>
          <w:color w:val="363636"/>
          <w:sz w:val="24"/>
          <w:szCs w:val="24"/>
        </w:rPr>
      </w:pPr>
      <w:r w:rsidRPr="00035C78">
        <w:rPr>
          <w:rFonts w:ascii="Lato" w:eastAsia="Times New Roman" w:hAnsi="Lato" w:cs="Times New Roman"/>
          <w:b/>
          <w:bCs/>
          <w:color w:val="363636"/>
          <w:sz w:val="24"/>
          <w:szCs w:val="24"/>
        </w:rPr>
        <w:t>Interprofessional Continuing Education (IPCE) Credits</w:t>
      </w:r>
    </w:p>
    <w:p w14:paraId="31F712D5" w14:textId="34F73AE0" w:rsidR="00035C78" w:rsidRDefault="00035C78" w:rsidP="008646AA">
      <w:pPr>
        <w:spacing w:after="0" w:line="240" w:lineRule="auto"/>
        <w:rPr>
          <w:rFonts w:ascii="Lato" w:eastAsia="Times New Roman" w:hAnsi="Lato" w:cs="Times New Roman"/>
          <w:color w:val="363636"/>
          <w:sz w:val="24"/>
          <w:szCs w:val="24"/>
        </w:rPr>
      </w:pPr>
      <w:r w:rsidRPr="00035C78">
        <w:rPr>
          <w:rFonts w:ascii="Lato" w:eastAsia="Times New Roman" w:hAnsi="Lato" w:cs="Times New Roman"/>
          <w:color w:val="363636"/>
          <w:sz w:val="24"/>
          <w:szCs w:val="24"/>
        </w:rPr>
        <w:t xml:space="preserve">This activity was planned by and for the healthcare team, and learners will receive </w:t>
      </w:r>
      <w:r w:rsidR="00082388">
        <w:rPr>
          <w:rFonts w:ascii="Lato" w:eastAsia="Times New Roman" w:hAnsi="Lato" w:cs="Times New Roman"/>
          <w:b/>
          <w:bCs/>
          <w:color w:val="363636"/>
          <w:sz w:val="24"/>
          <w:szCs w:val="24"/>
        </w:rPr>
        <w:t>1</w:t>
      </w:r>
      <w:r>
        <w:rPr>
          <w:rFonts w:ascii="Lato" w:eastAsia="Times New Roman" w:hAnsi="Lato" w:cs="Times New Roman"/>
          <w:color w:val="363636"/>
          <w:sz w:val="24"/>
          <w:szCs w:val="24"/>
        </w:rPr>
        <w:t xml:space="preserve"> </w:t>
      </w:r>
      <w:r w:rsidRPr="00035C78">
        <w:rPr>
          <w:rFonts w:ascii="Lato" w:eastAsia="Times New Roman" w:hAnsi="Lato" w:cs="Times New Roman"/>
          <w:color w:val="363636"/>
          <w:sz w:val="24"/>
          <w:szCs w:val="24"/>
        </w:rPr>
        <w:t>Interprofessional Continuing Education (IPCE) credit for learning and change.</w:t>
      </w:r>
    </w:p>
    <w:p w14:paraId="309A6D0F" w14:textId="77777777" w:rsidR="00346A7E" w:rsidRPr="00E90749" w:rsidRDefault="00346A7E" w:rsidP="008646AA">
      <w:pPr>
        <w:spacing w:after="0" w:line="240" w:lineRule="auto"/>
        <w:rPr>
          <w:rFonts w:ascii="Lato" w:eastAsia="Times New Roman" w:hAnsi="Lato" w:cs="Times New Roman"/>
          <w:color w:val="363636"/>
          <w:sz w:val="24"/>
          <w:szCs w:val="24"/>
        </w:rPr>
      </w:pPr>
    </w:p>
    <w:p w14:paraId="6D73AC5E" w14:textId="77777777"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California Association for Drug/Alcohol Educators (CAADE)</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This educational program is approved by CAADE: #CP40 999 122</w:t>
      </w:r>
      <w:r>
        <w:rPr>
          <w:rFonts w:ascii="Lato" w:eastAsia="Times New Roman" w:hAnsi="Lato" w:cs="Times New Roman"/>
          <w:color w:val="363636"/>
          <w:sz w:val="24"/>
          <w:szCs w:val="24"/>
        </w:rPr>
        <w:t>5</w:t>
      </w:r>
      <w:r w:rsidRPr="004C2CCE">
        <w:rPr>
          <w:rFonts w:ascii="Lato" w:eastAsia="Times New Roman" w:hAnsi="Lato" w:cs="Times New Roman"/>
          <w:color w:val="363636"/>
          <w:sz w:val="24"/>
          <w:szCs w:val="24"/>
        </w:rPr>
        <w:t>.</w:t>
      </w:r>
    </w:p>
    <w:p w14:paraId="09A87C7A" w14:textId="39B0423A"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California Association of DUI Treatment Centers (CADTP)</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This educational program is approved by CADTP: #205.</w:t>
      </w:r>
    </w:p>
    <w:p w14:paraId="1FBBFE35" w14:textId="34C691F2"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California Consortium of Addiction Programs and Professionals (CCAPP)</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This educational program is approved by CCAPP: #OS-20-330-122</w:t>
      </w:r>
      <w:r>
        <w:rPr>
          <w:rFonts w:ascii="Lato" w:eastAsia="Times New Roman" w:hAnsi="Lato" w:cs="Times New Roman"/>
          <w:color w:val="363636"/>
          <w:sz w:val="24"/>
          <w:szCs w:val="24"/>
        </w:rPr>
        <w:t>4</w:t>
      </w:r>
      <w:r w:rsidRPr="004C2CCE">
        <w:rPr>
          <w:rFonts w:ascii="Lato" w:eastAsia="Times New Roman" w:hAnsi="Lato" w:cs="Times New Roman"/>
          <w:color w:val="363636"/>
          <w:sz w:val="24"/>
          <w:szCs w:val="24"/>
        </w:rPr>
        <w:t>.</w:t>
      </w:r>
    </w:p>
    <w:p w14:paraId="0A13FF57" w14:textId="180FAF59"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lastRenderedPageBreak/>
        <w:t>Continuing Education Credits (CEUs)</w:t>
      </w:r>
      <w:r w:rsidRPr="004C2CCE">
        <w:rPr>
          <w:rFonts w:ascii="Lato" w:eastAsia="Times New Roman" w:hAnsi="Lato" w:cs="Times New Roman"/>
          <w:b/>
          <w:bCs/>
          <w:color w:val="363636"/>
          <w:sz w:val="24"/>
          <w:szCs w:val="24"/>
        </w:rPr>
        <w:br/>
      </w:r>
      <w:r>
        <w:rPr>
          <w:rFonts w:ascii="Lato" w:eastAsia="Times New Roman" w:hAnsi="Lato" w:cs="Times New Roman"/>
          <w:color w:val="363636"/>
          <w:sz w:val="24"/>
          <w:szCs w:val="24"/>
        </w:rPr>
        <w:t>U</w:t>
      </w:r>
      <w:r w:rsidRPr="004C2CCE">
        <w:rPr>
          <w:rFonts w:ascii="Lato" w:eastAsia="Times New Roman" w:hAnsi="Lato" w:cs="Times New Roman"/>
          <w:color w:val="363636"/>
          <w:sz w:val="24"/>
          <w:szCs w:val="24"/>
        </w:rPr>
        <w:t xml:space="preserve">pon completion of the activity </w:t>
      </w:r>
      <w:r>
        <w:rPr>
          <w:rFonts w:ascii="Lato" w:eastAsia="Times New Roman" w:hAnsi="Lato" w:cs="Times New Roman"/>
          <w:color w:val="363636"/>
          <w:sz w:val="24"/>
          <w:szCs w:val="24"/>
        </w:rPr>
        <w:t xml:space="preserve">and </w:t>
      </w:r>
      <w:r w:rsidRPr="004C2CCE">
        <w:rPr>
          <w:rFonts w:ascii="Lato" w:eastAsia="Times New Roman" w:hAnsi="Lato" w:cs="Times New Roman"/>
          <w:color w:val="363636"/>
          <w:sz w:val="24"/>
          <w:szCs w:val="24"/>
        </w:rPr>
        <w:t>online evaluation</w:t>
      </w:r>
      <w:r>
        <w:rPr>
          <w:rFonts w:ascii="Lato" w:eastAsia="Times New Roman" w:hAnsi="Lato" w:cs="Times New Roman"/>
          <w:color w:val="363636"/>
          <w:sz w:val="24"/>
          <w:szCs w:val="24"/>
        </w:rPr>
        <w:t xml:space="preserve">, </w:t>
      </w:r>
      <w:r w:rsidRPr="004C2CCE">
        <w:rPr>
          <w:rFonts w:ascii="Lato" w:eastAsia="Times New Roman" w:hAnsi="Lato" w:cs="Times New Roman"/>
          <w:color w:val="363636"/>
          <w:sz w:val="24"/>
          <w:szCs w:val="24"/>
        </w:rPr>
        <w:t xml:space="preserve">all </w:t>
      </w:r>
      <w:r>
        <w:rPr>
          <w:rFonts w:ascii="Lato" w:eastAsia="Times New Roman" w:hAnsi="Lato" w:cs="Times New Roman"/>
          <w:color w:val="363636"/>
          <w:sz w:val="24"/>
          <w:szCs w:val="24"/>
        </w:rPr>
        <w:t xml:space="preserve">other </w:t>
      </w:r>
      <w:r w:rsidRPr="004C2CCE">
        <w:rPr>
          <w:rFonts w:ascii="Lato" w:eastAsia="Times New Roman" w:hAnsi="Lato" w:cs="Times New Roman"/>
          <w:color w:val="363636"/>
          <w:sz w:val="24"/>
          <w:szCs w:val="24"/>
        </w:rPr>
        <w:t xml:space="preserve">participants </w:t>
      </w:r>
      <w:r>
        <w:rPr>
          <w:rFonts w:ascii="Lato" w:eastAsia="Times New Roman" w:hAnsi="Lato" w:cs="Times New Roman"/>
          <w:color w:val="363636"/>
          <w:sz w:val="24"/>
          <w:szCs w:val="24"/>
        </w:rPr>
        <w:t>may request</w:t>
      </w:r>
      <w:r w:rsidRPr="004C2CCE">
        <w:rPr>
          <w:rFonts w:ascii="Lato" w:eastAsia="Times New Roman" w:hAnsi="Lato" w:cs="Times New Roman"/>
          <w:color w:val="363636"/>
          <w:sz w:val="24"/>
          <w:szCs w:val="24"/>
        </w:rPr>
        <w:t xml:space="preserve"> a certificate of </w:t>
      </w:r>
      <w:r>
        <w:rPr>
          <w:rFonts w:ascii="Lato" w:eastAsia="Times New Roman" w:hAnsi="Lato" w:cs="Times New Roman"/>
          <w:color w:val="363636"/>
          <w:sz w:val="24"/>
          <w:szCs w:val="24"/>
        </w:rPr>
        <w:t>participation</w:t>
      </w:r>
      <w:r w:rsidRPr="004C2CCE">
        <w:rPr>
          <w:rFonts w:ascii="Lato" w:eastAsia="Times New Roman" w:hAnsi="Lato" w:cs="Times New Roman"/>
          <w:color w:val="363636"/>
          <w:sz w:val="24"/>
          <w:szCs w:val="24"/>
        </w:rPr>
        <w:t xml:space="preserve">. Participants </w:t>
      </w:r>
      <w:r>
        <w:rPr>
          <w:rFonts w:ascii="Lato" w:eastAsia="Times New Roman" w:hAnsi="Lato" w:cs="Times New Roman"/>
          <w:color w:val="363636"/>
          <w:sz w:val="24"/>
          <w:szCs w:val="24"/>
        </w:rPr>
        <w:t>may</w:t>
      </w:r>
      <w:r w:rsidRPr="004C2CCE">
        <w:rPr>
          <w:rFonts w:ascii="Lato" w:eastAsia="Times New Roman" w:hAnsi="Lato" w:cs="Times New Roman"/>
          <w:color w:val="363636"/>
          <w:sz w:val="24"/>
          <w:szCs w:val="24"/>
        </w:rPr>
        <w:t xml:space="preserve"> submit </w:t>
      </w:r>
      <w:r>
        <w:rPr>
          <w:rFonts w:ascii="Lato" w:eastAsia="Times New Roman" w:hAnsi="Lato" w:cs="Times New Roman"/>
          <w:color w:val="363636"/>
          <w:sz w:val="24"/>
          <w:szCs w:val="24"/>
        </w:rPr>
        <w:t xml:space="preserve">this </w:t>
      </w:r>
      <w:r w:rsidRPr="004C2CCE">
        <w:rPr>
          <w:rFonts w:ascii="Lato" w:eastAsia="Times New Roman" w:hAnsi="Lato" w:cs="Times New Roman"/>
          <w:color w:val="363636"/>
          <w:sz w:val="24"/>
          <w:szCs w:val="24"/>
        </w:rPr>
        <w:t xml:space="preserve">certificate of </w:t>
      </w:r>
      <w:r>
        <w:rPr>
          <w:rFonts w:ascii="Lato" w:eastAsia="Times New Roman" w:hAnsi="Lato" w:cs="Times New Roman"/>
          <w:color w:val="363636"/>
          <w:sz w:val="24"/>
          <w:szCs w:val="24"/>
        </w:rPr>
        <w:t>participation</w:t>
      </w:r>
      <w:r w:rsidRPr="004C2CCE">
        <w:rPr>
          <w:rFonts w:ascii="Lato" w:eastAsia="Times New Roman" w:hAnsi="Lato" w:cs="Times New Roman"/>
          <w:color w:val="363636"/>
          <w:sz w:val="24"/>
          <w:szCs w:val="24"/>
        </w:rPr>
        <w:t xml:space="preserve"> to their professional organization/institute</w:t>
      </w:r>
      <w:r>
        <w:rPr>
          <w:rFonts w:ascii="Lato" w:eastAsia="Times New Roman" w:hAnsi="Lato" w:cs="Times New Roman"/>
          <w:color w:val="363636"/>
          <w:sz w:val="24"/>
          <w:szCs w:val="24"/>
        </w:rPr>
        <w:t xml:space="preserve"> as documentation for completing this accredited continuing activity</w:t>
      </w:r>
      <w:r w:rsidRPr="004C2CCE">
        <w:rPr>
          <w:rFonts w:ascii="Lato" w:eastAsia="Times New Roman" w:hAnsi="Lato" w:cs="Times New Roman"/>
          <w:color w:val="363636"/>
          <w:sz w:val="24"/>
          <w:szCs w:val="24"/>
        </w:rPr>
        <w:t>.</w:t>
      </w:r>
    </w:p>
    <w:p w14:paraId="3C37560B" w14:textId="7119959A" w:rsidR="008646AA" w:rsidRPr="004C2CCE" w:rsidRDefault="008646AA" w:rsidP="008646AA">
      <w:pPr>
        <w:spacing w:before="161" w:after="150" w:line="240" w:lineRule="auto"/>
        <w:outlineLvl w:val="3"/>
        <w:rPr>
          <w:rFonts w:ascii="Lato" w:eastAsia="Times New Roman" w:hAnsi="Lato" w:cs="Times New Roman"/>
          <w:b/>
          <w:bCs/>
          <w:color w:val="363636"/>
          <w:sz w:val="34"/>
          <w:szCs w:val="34"/>
        </w:rPr>
      </w:pPr>
      <w:r w:rsidRPr="004C2CCE">
        <w:rPr>
          <w:rFonts w:ascii="Lato" w:eastAsia="Times New Roman" w:hAnsi="Lato" w:cs="Times New Roman"/>
          <w:b/>
          <w:bCs/>
          <w:color w:val="363636"/>
          <w:sz w:val="34"/>
          <w:szCs w:val="34"/>
        </w:rPr>
        <w:t>Maintenance of Certification (MOC) or Continuing Certification Programs (CCP)</w:t>
      </w:r>
    </w:p>
    <w:p w14:paraId="31ECA8A2" w14:textId="6B398AAF" w:rsidR="008646AA" w:rsidRPr="00135444" w:rsidRDefault="008646AA" w:rsidP="008646AA">
      <w:pPr>
        <w:rPr>
          <w:rFonts w:ascii="Lato" w:hAnsi="Lato"/>
        </w:rPr>
      </w:pPr>
      <w:r w:rsidRPr="00135444">
        <w:rPr>
          <w:rFonts w:ascii="Lato" w:hAnsi="Lato"/>
        </w:rPr>
        <w:t xml:space="preserve">This activity meets the requirements for MOC/CCP for the following primary physician boards and for state licensing CME requirements. MOC Credit is only reported for ABA, ABP, ABIM, and ABS. By completing the online credit application and evaluation, the learner permits ASAM to report credits to the appropriate Board. </w:t>
      </w:r>
      <w:hyperlink r:id="rId10" w:history="1">
        <w:r w:rsidRPr="00135444">
          <w:rPr>
            <w:rStyle w:val="Hyperlink"/>
            <w:rFonts w:ascii="Lato" w:hAnsi="Lato"/>
          </w:rPr>
          <w:t>Learn more</w:t>
        </w:r>
      </w:hyperlink>
      <w:r w:rsidRPr="00135444">
        <w:rPr>
          <w:rFonts w:ascii="Lato" w:hAnsi="Lato"/>
        </w:rPr>
        <w:t>.</w:t>
      </w:r>
    </w:p>
    <w:p w14:paraId="5F0E1103" w14:textId="77777777" w:rsidR="008646AA" w:rsidRPr="00135444" w:rsidRDefault="008646AA" w:rsidP="008646AA">
      <w:pPr>
        <w:pStyle w:val="ListParagraph"/>
        <w:numPr>
          <w:ilvl w:val="0"/>
          <w:numId w:val="1"/>
        </w:numPr>
        <w:rPr>
          <w:rFonts w:ascii="Lato" w:hAnsi="Lato"/>
        </w:rPr>
      </w:pPr>
      <w:r w:rsidRPr="00135444">
        <w:rPr>
          <w:rFonts w:ascii="Lato" w:hAnsi="Lato"/>
        </w:rPr>
        <w:t>American Board of Medical Specialties (ABMS)</w:t>
      </w:r>
    </w:p>
    <w:p w14:paraId="39AF88D7" w14:textId="175DFB55" w:rsidR="008646AA" w:rsidRPr="00135444" w:rsidRDefault="008646AA" w:rsidP="008646AA">
      <w:pPr>
        <w:pStyle w:val="ListParagraph"/>
        <w:numPr>
          <w:ilvl w:val="0"/>
          <w:numId w:val="1"/>
        </w:numPr>
        <w:rPr>
          <w:rFonts w:ascii="Lato" w:hAnsi="Lato"/>
        </w:rPr>
      </w:pPr>
      <w:r w:rsidRPr="00135444">
        <w:rPr>
          <w:rFonts w:ascii="Lato" w:hAnsi="Lato"/>
        </w:rPr>
        <w:t>American Board of Preventive Medicine (ABPM)</w:t>
      </w:r>
    </w:p>
    <w:p w14:paraId="1E217766" w14:textId="77777777" w:rsidR="008646AA" w:rsidRPr="00135444" w:rsidRDefault="008646AA" w:rsidP="008646AA">
      <w:pPr>
        <w:pStyle w:val="ListParagraph"/>
        <w:numPr>
          <w:ilvl w:val="0"/>
          <w:numId w:val="1"/>
        </w:numPr>
        <w:rPr>
          <w:rFonts w:ascii="Lato" w:hAnsi="Lato"/>
        </w:rPr>
      </w:pPr>
      <w:r w:rsidRPr="00135444">
        <w:rPr>
          <w:rFonts w:ascii="Lato" w:hAnsi="Lato"/>
        </w:rPr>
        <w:t>American Board of Internal Medicine (ABIM)</w:t>
      </w:r>
    </w:p>
    <w:p w14:paraId="04EE4EFD" w14:textId="77777777" w:rsidR="008646AA" w:rsidRPr="00135444" w:rsidRDefault="008646AA" w:rsidP="008646AA">
      <w:pPr>
        <w:pStyle w:val="ListParagraph"/>
        <w:numPr>
          <w:ilvl w:val="0"/>
          <w:numId w:val="1"/>
        </w:numPr>
        <w:rPr>
          <w:rFonts w:ascii="Lato" w:hAnsi="Lato"/>
        </w:rPr>
      </w:pPr>
      <w:r w:rsidRPr="00135444">
        <w:rPr>
          <w:rFonts w:ascii="Lato" w:hAnsi="Lato"/>
        </w:rPr>
        <w:t>American Board of Pediatrics (ABP)</w:t>
      </w:r>
    </w:p>
    <w:p w14:paraId="4558E599" w14:textId="2B33812F" w:rsidR="008646AA" w:rsidRPr="00135444" w:rsidRDefault="008646AA" w:rsidP="008646AA">
      <w:pPr>
        <w:pStyle w:val="ListParagraph"/>
        <w:numPr>
          <w:ilvl w:val="0"/>
          <w:numId w:val="1"/>
        </w:numPr>
        <w:rPr>
          <w:rFonts w:ascii="Lato" w:hAnsi="Lato"/>
        </w:rPr>
      </w:pPr>
      <w:r w:rsidRPr="00135444">
        <w:rPr>
          <w:rFonts w:ascii="Lato" w:hAnsi="Lato"/>
        </w:rPr>
        <w:t>American Board of Surgery (ABS)</w:t>
      </w:r>
    </w:p>
    <w:p w14:paraId="7E6D066E" w14:textId="77777777" w:rsidR="008646AA" w:rsidRPr="00135444" w:rsidRDefault="008646AA" w:rsidP="008646AA">
      <w:pPr>
        <w:pStyle w:val="ListParagraph"/>
        <w:numPr>
          <w:ilvl w:val="0"/>
          <w:numId w:val="1"/>
        </w:numPr>
        <w:rPr>
          <w:rFonts w:ascii="Lato" w:hAnsi="Lato"/>
        </w:rPr>
      </w:pPr>
      <w:r w:rsidRPr="00135444">
        <w:rPr>
          <w:rFonts w:ascii="Lato" w:hAnsi="Lato"/>
        </w:rPr>
        <w:t>American Board of Psychiatry and Neurology (ABPN)</w:t>
      </w:r>
    </w:p>
    <w:p w14:paraId="379CA0B9" w14:textId="77777777" w:rsidR="008646AA" w:rsidRPr="00135444" w:rsidRDefault="008646AA" w:rsidP="008646AA">
      <w:pPr>
        <w:pStyle w:val="ListParagraph"/>
        <w:numPr>
          <w:ilvl w:val="0"/>
          <w:numId w:val="1"/>
        </w:numPr>
        <w:rPr>
          <w:rFonts w:ascii="Lato" w:hAnsi="Lato"/>
        </w:rPr>
      </w:pPr>
      <w:r w:rsidRPr="00135444">
        <w:rPr>
          <w:rFonts w:ascii="Lato" w:hAnsi="Lato"/>
        </w:rPr>
        <w:t>American Board of Addiction Medicine (ABAM)</w:t>
      </w:r>
    </w:p>
    <w:p w14:paraId="0ECEAF4E" w14:textId="77777777" w:rsidR="008646AA" w:rsidRPr="00135444" w:rsidRDefault="008646AA" w:rsidP="008646AA">
      <w:pPr>
        <w:pStyle w:val="ListParagraph"/>
        <w:numPr>
          <w:ilvl w:val="0"/>
          <w:numId w:val="1"/>
        </w:numPr>
        <w:rPr>
          <w:rFonts w:ascii="Lato" w:hAnsi="Lato"/>
        </w:rPr>
      </w:pPr>
      <w:r w:rsidRPr="00135444">
        <w:rPr>
          <w:rFonts w:ascii="Lato" w:hAnsi="Lato"/>
        </w:rPr>
        <w:t>Royal College of Physicians and Surgeons of Canada (RCPSC)</w:t>
      </w:r>
    </w:p>
    <w:p w14:paraId="2A27EB80" w14:textId="77777777" w:rsidR="008646AA" w:rsidRPr="00135444" w:rsidRDefault="008646AA" w:rsidP="008646AA">
      <w:pPr>
        <w:pStyle w:val="ListParagraph"/>
        <w:numPr>
          <w:ilvl w:val="1"/>
          <w:numId w:val="1"/>
        </w:numPr>
        <w:rPr>
          <w:rFonts w:ascii="Lato" w:hAnsi="Lato"/>
        </w:rPr>
      </w:pPr>
      <w:r w:rsidRPr="00135444">
        <w:rPr>
          <w:rFonts w:ascii="Lato" w:hAnsi="Lato"/>
        </w:rPr>
        <w:t>Through an agreement between the Accreditation Council for Continuing Medical Education and the Royal College of Physicians and Surgeons in Canada, medical practitioners participating in the Royal College MOC Program may record completion of accredited activities registered under the ACCME’s “CME in Support of MOC” program in Section 3 of the Royal College’s MOC Program.</w:t>
      </w:r>
    </w:p>
    <w:p w14:paraId="58824EC3" w14:textId="77777777" w:rsidR="008646AA" w:rsidRPr="004C2CCE" w:rsidRDefault="008646AA" w:rsidP="008646AA">
      <w:pPr>
        <w:spacing w:before="161" w:after="150" w:line="240" w:lineRule="auto"/>
        <w:outlineLvl w:val="3"/>
        <w:rPr>
          <w:rFonts w:ascii="Lato" w:eastAsia="Times New Roman" w:hAnsi="Lato" w:cs="Times New Roman"/>
          <w:b/>
          <w:bCs/>
          <w:color w:val="363636"/>
          <w:sz w:val="34"/>
          <w:szCs w:val="34"/>
        </w:rPr>
      </w:pPr>
      <w:r w:rsidRPr="00082388">
        <w:rPr>
          <w:rFonts w:ascii="Lato" w:eastAsia="Times New Roman" w:hAnsi="Lato" w:cs="Times New Roman"/>
          <w:b/>
          <w:bCs/>
          <w:color w:val="363636"/>
          <w:sz w:val="34"/>
          <w:szCs w:val="34"/>
        </w:rPr>
        <w:t>Disclosure Information</w:t>
      </w:r>
    </w:p>
    <w:p w14:paraId="22D87B4B" w14:textId="77777777" w:rsidR="000509A4" w:rsidRDefault="000509A4" w:rsidP="000509A4">
      <w:pPr>
        <w:rPr>
          <w:rFonts w:ascii="Lato" w:eastAsia="Times New Roman" w:hAnsi="Lato" w:cs="Times New Roman"/>
          <w:color w:val="363636"/>
          <w:sz w:val="24"/>
          <w:szCs w:val="24"/>
        </w:rPr>
      </w:pPr>
      <w:r w:rsidRPr="00264798">
        <w:rPr>
          <w:rFonts w:ascii="Lato" w:eastAsia="Times New Roman" w:hAnsi="Lato" w:cs="Times New Roman"/>
          <w:color w:val="363636"/>
          <w:sz w:val="24"/>
          <w:szCs w:val="24"/>
        </w:rPr>
        <w:t xml:space="preserve">In accordance with </w:t>
      </w:r>
      <w:r>
        <w:rPr>
          <w:rFonts w:ascii="Lato" w:eastAsia="Times New Roman" w:hAnsi="Lato" w:cs="Times New Roman"/>
          <w:color w:val="363636"/>
          <w:sz w:val="24"/>
          <w:szCs w:val="24"/>
        </w:rPr>
        <w:t xml:space="preserve">the </w:t>
      </w:r>
      <w:r w:rsidRPr="00264798">
        <w:rPr>
          <w:rFonts w:ascii="Lato" w:eastAsia="Times New Roman" w:hAnsi="Lato" w:cs="Times New Roman"/>
          <w:color w:val="363636"/>
          <w:sz w:val="24"/>
          <w:szCs w:val="24"/>
        </w:rPr>
        <w:t xml:space="preserve">disclosure policies of ASAM and </w:t>
      </w:r>
      <w:r>
        <w:rPr>
          <w:rFonts w:ascii="Lato" w:eastAsia="Times New Roman" w:hAnsi="Lato" w:cs="Times New Roman"/>
          <w:color w:val="363636"/>
          <w:sz w:val="24"/>
          <w:szCs w:val="24"/>
        </w:rPr>
        <w:t>Joint Accreditation</w:t>
      </w:r>
      <w:r w:rsidRPr="00264798">
        <w:rPr>
          <w:rFonts w:ascii="Lato" w:eastAsia="Times New Roman" w:hAnsi="Lato" w:cs="Times New Roman"/>
          <w:color w:val="363636"/>
          <w:sz w:val="24"/>
          <w:szCs w:val="24"/>
        </w:rPr>
        <w:t xml:space="preserve">, the effort is made to ensure balance, independence, objectivity, and scientific rigor in all </w:t>
      </w:r>
      <w:r>
        <w:rPr>
          <w:rFonts w:ascii="Lato" w:eastAsia="Times New Roman" w:hAnsi="Lato" w:cs="Times New Roman"/>
          <w:color w:val="363636"/>
          <w:sz w:val="24"/>
          <w:szCs w:val="24"/>
        </w:rPr>
        <w:t>accredited continuing education</w:t>
      </w:r>
      <w:r w:rsidRPr="00264798">
        <w:rPr>
          <w:rFonts w:ascii="Lato" w:eastAsia="Times New Roman" w:hAnsi="Lato" w:cs="Times New Roman"/>
          <w:color w:val="363636"/>
          <w:sz w:val="24"/>
          <w:szCs w:val="24"/>
        </w:rPr>
        <w:t xml:space="preserve"> activities. These policies include </w:t>
      </w:r>
      <w:r>
        <w:rPr>
          <w:rFonts w:ascii="Lato" w:eastAsia="Times New Roman" w:hAnsi="Lato" w:cs="Times New Roman"/>
          <w:color w:val="363636"/>
          <w:sz w:val="24"/>
          <w:szCs w:val="24"/>
        </w:rPr>
        <w:t xml:space="preserve">identifying and </w:t>
      </w:r>
      <w:r w:rsidRPr="00264798">
        <w:rPr>
          <w:rFonts w:ascii="Lato" w:eastAsia="Times New Roman" w:hAnsi="Lato" w:cs="Times New Roman"/>
          <w:color w:val="363636"/>
          <w:sz w:val="24"/>
          <w:szCs w:val="24"/>
        </w:rPr>
        <w:t xml:space="preserve">mitigating all relevant financial relationships with ineligible companies for </w:t>
      </w:r>
      <w:r>
        <w:rPr>
          <w:rFonts w:ascii="Lato" w:eastAsia="Times New Roman" w:hAnsi="Lato" w:cs="Times New Roman"/>
          <w:color w:val="363636"/>
          <w:sz w:val="24"/>
          <w:szCs w:val="24"/>
        </w:rPr>
        <w:t>those involved in the creation and dissemination of accredited continuing education</w:t>
      </w:r>
      <w:r w:rsidRPr="00264798">
        <w:rPr>
          <w:rFonts w:ascii="Lato" w:eastAsia="Times New Roman" w:hAnsi="Lato" w:cs="Times New Roman"/>
          <w:color w:val="363636"/>
          <w:sz w:val="24"/>
          <w:szCs w:val="24"/>
        </w:rPr>
        <w:t>.</w:t>
      </w:r>
      <w:r>
        <w:rPr>
          <w:rFonts w:ascii="Lato" w:eastAsia="Times New Roman" w:hAnsi="Lato" w:cs="Times New Roman"/>
          <w:color w:val="363636"/>
          <w:sz w:val="24"/>
          <w:szCs w:val="24"/>
        </w:rPr>
        <w:t xml:space="preserve"> </w:t>
      </w:r>
    </w:p>
    <w:p w14:paraId="1A22F88B" w14:textId="32D28EEE" w:rsidR="00BF60DF" w:rsidRDefault="000509A4" w:rsidP="000509A4">
      <w:r>
        <w:rPr>
          <w:rFonts w:ascii="Lato" w:eastAsia="Times New Roman" w:hAnsi="Lato" w:cs="Times New Roman"/>
          <w:color w:val="363636"/>
          <w:sz w:val="24"/>
          <w:szCs w:val="24"/>
        </w:rPr>
        <w:t>The planners, faculty, or those in control of creating or disseminating this accredited continuing education have no relevant financial relationships.</w:t>
      </w:r>
    </w:p>
    <w:sectPr w:rsidR="00BF60DF" w:rsidSect="00923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352F8"/>
    <w:multiLevelType w:val="hybridMultilevel"/>
    <w:tmpl w:val="66B8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66CC7"/>
    <w:multiLevelType w:val="hybridMultilevel"/>
    <w:tmpl w:val="ABE4CB18"/>
    <w:lvl w:ilvl="0" w:tplc="BF409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706131">
    <w:abstractNumId w:val="0"/>
  </w:num>
  <w:num w:numId="2" w16cid:durableId="208845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AA"/>
    <w:rsid w:val="00035C78"/>
    <w:rsid w:val="000504B5"/>
    <w:rsid w:val="000509A4"/>
    <w:rsid w:val="00082388"/>
    <w:rsid w:val="00104305"/>
    <w:rsid w:val="00274807"/>
    <w:rsid w:val="002D79A1"/>
    <w:rsid w:val="00346A7E"/>
    <w:rsid w:val="00442F16"/>
    <w:rsid w:val="0049068C"/>
    <w:rsid w:val="004B57C0"/>
    <w:rsid w:val="004C4C46"/>
    <w:rsid w:val="004D16C4"/>
    <w:rsid w:val="006C04AE"/>
    <w:rsid w:val="006E65C4"/>
    <w:rsid w:val="00704BDA"/>
    <w:rsid w:val="00716145"/>
    <w:rsid w:val="007819C8"/>
    <w:rsid w:val="007C629B"/>
    <w:rsid w:val="008646AA"/>
    <w:rsid w:val="0092338A"/>
    <w:rsid w:val="00962494"/>
    <w:rsid w:val="00994CF4"/>
    <w:rsid w:val="00A243D3"/>
    <w:rsid w:val="00A56CBE"/>
    <w:rsid w:val="00B83394"/>
    <w:rsid w:val="00BC5568"/>
    <w:rsid w:val="00BD62EA"/>
    <w:rsid w:val="00BF60DF"/>
    <w:rsid w:val="00DC6D8F"/>
    <w:rsid w:val="00E0738D"/>
    <w:rsid w:val="00E1007F"/>
    <w:rsid w:val="00E56C46"/>
    <w:rsid w:val="00E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9C98"/>
  <w15:chartTrackingRefBased/>
  <w15:docId w15:val="{902B23D3-7023-48D3-A6B5-1B824B1C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AA"/>
    <w:pPr>
      <w:ind w:left="720"/>
      <w:contextualSpacing/>
    </w:pPr>
  </w:style>
  <w:style w:type="character" w:styleId="Hyperlink">
    <w:name w:val="Hyperlink"/>
    <w:basedOn w:val="DefaultParagraphFont"/>
    <w:uiPriority w:val="99"/>
    <w:unhideWhenUsed/>
    <w:rsid w:val="008646AA"/>
    <w:rPr>
      <w:color w:val="0563C1" w:themeColor="hyperlink"/>
      <w:u w:val="single"/>
    </w:rPr>
  </w:style>
  <w:style w:type="character" w:styleId="CommentReference">
    <w:name w:val="annotation reference"/>
    <w:basedOn w:val="DefaultParagraphFont"/>
    <w:uiPriority w:val="99"/>
    <w:semiHidden/>
    <w:unhideWhenUsed/>
    <w:rsid w:val="008646AA"/>
    <w:rPr>
      <w:sz w:val="16"/>
      <w:szCs w:val="16"/>
    </w:rPr>
  </w:style>
  <w:style w:type="paragraph" w:styleId="CommentText">
    <w:name w:val="annotation text"/>
    <w:basedOn w:val="Normal"/>
    <w:link w:val="CommentTextChar"/>
    <w:uiPriority w:val="99"/>
    <w:unhideWhenUsed/>
    <w:rsid w:val="008646AA"/>
    <w:pPr>
      <w:spacing w:line="240" w:lineRule="auto"/>
    </w:pPr>
    <w:rPr>
      <w:sz w:val="20"/>
      <w:szCs w:val="20"/>
    </w:rPr>
  </w:style>
  <w:style w:type="character" w:customStyle="1" w:styleId="CommentTextChar">
    <w:name w:val="Comment Text Char"/>
    <w:basedOn w:val="DefaultParagraphFont"/>
    <w:link w:val="CommentText"/>
    <w:uiPriority w:val="99"/>
    <w:rsid w:val="008646AA"/>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learning.asam.org/certifications-and-moc-explore-al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59AFA884F3A4A98B04644A6D50D8B" ma:contentTypeVersion="15" ma:contentTypeDescription="Create a new document." ma:contentTypeScope="" ma:versionID="217416fa193e0fe4c9e45b61e45062dd">
  <xsd:schema xmlns:xsd="http://www.w3.org/2001/XMLSchema" xmlns:xs="http://www.w3.org/2001/XMLSchema" xmlns:p="http://schemas.microsoft.com/office/2006/metadata/properties" xmlns:ns2="096478da-36f8-47f0-ac01-92ccb63c7752" xmlns:ns3="c4e42cf3-3c08-4cde-a321-0dd1539fe695" targetNamespace="http://schemas.microsoft.com/office/2006/metadata/properties" ma:root="true" ma:fieldsID="40037d369035cbb00a799c570118d114" ns2:_="" ns3:_="">
    <xsd:import namespace="096478da-36f8-47f0-ac01-92ccb63c7752"/>
    <xsd:import namespace="c4e42cf3-3c08-4cde-a321-0dd1539fe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478da-36f8-47f0-ac01-92ccb63c7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7e77d1-e117-4c20-93d6-d0ab192a12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42cf3-3c08-4cde-a321-0dd1539fe69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723d29-e00f-412d-b2f1-6dca4d4b6620}" ma:internalName="TaxCatchAll" ma:showField="CatchAllData" ma:web="c4e42cf3-3c08-4cde-a321-0dd1539fe6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e42cf3-3c08-4cde-a321-0dd1539fe695" xsi:nil="true"/>
    <lcf76f155ced4ddcb4097134ff3c332f xmlns="096478da-36f8-47f0-ac01-92ccb63c77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4BABD2-EFA0-4882-A9C2-3F33E02DD47E}">
  <ds:schemaRefs>
    <ds:schemaRef ds:uri="http://schemas.microsoft.com/sharepoint/v3/contenttype/forms"/>
  </ds:schemaRefs>
</ds:datastoreItem>
</file>

<file path=customXml/itemProps2.xml><?xml version="1.0" encoding="utf-8"?>
<ds:datastoreItem xmlns:ds="http://schemas.openxmlformats.org/officeDocument/2006/customXml" ds:itemID="{29CC829F-AAE0-480F-8CDC-661A097CB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478da-36f8-47f0-ac01-92ccb63c7752"/>
    <ds:schemaRef ds:uri="c4e42cf3-3c08-4cde-a321-0dd1539f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A09F9-39B1-4B0A-A31A-DBBC42D1C50C}">
  <ds:schemaRefs>
    <ds:schemaRef ds:uri="http://schemas.microsoft.com/office/2006/metadata/properties"/>
    <ds:schemaRef ds:uri="http://schemas.microsoft.com/office/infopath/2007/PartnerControls"/>
    <ds:schemaRef ds:uri="c4e42cf3-3c08-4cde-a321-0dd1539fe695"/>
    <ds:schemaRef ds:uri="096478da-36f8-47f0-ac01-92ccb63c77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4016</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 Jackson</dc:creator>
  <cp:keywords/>
  <dc:description/>
  <cp:lastModifiedBy>Caitlyn Keenan</cp:lastModifiedBy>
  <cp:revision>3</cp:revision>
  <dcterms:created xsi:type="dcterms:W3CDTF">2024-06-03T23:42:00Z</dcterms:created>
  <dcterms:modified xsi:type="dcterms:W3CDTF">2024-06-03T23:43:00Z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0x010100A0759AFA884F3A4A98B04644A6D50D8B</vt:lpwstr>
  </property>
  <property fmtid="{D5CDD505-2E9C-101B-9397-08002B2CF9AE}" pid="3" name="Order">
    <vt:r8>261400</vt:r8>
  </property>
  <property fmtid="{D5CDD505-2E9C-101B-9397-08002B2CF9AE}" pid="4" name="MediaServiceImageTags">
    <vt:lpwstr/>
  </property>
</Properties>
</file>